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bCs/>
          <w:sz w:val="44"/>
          <w:szCs w:val="36"/>
        </w:rPr>
      </w:pPr>
      <w:r>
        <w:rPr>
          <w:rFonts w:hint="eastAsia" w:ascii="宋体" w:hAnsi="宋体" w:cs="宋体"/>
          <w:b/>
          <w:bCs/>
          <w:sz w:val="44"/>
          <w:szCs w:val="36"/>
          <w:lang w:eastAsia="zh-CN"/>
        </w:rPr>
        <w:t>赣州八五一</w:t>
      </w:r>
      <w:r>
        <w:rPr>
          <w:rFonts w:hint="eastAsia" w:ascii="宋体" w:hAnsi="宋体" w:eastAsia="宋体" w:cs="宋体"/>
          <w:b/>
          <w:bCs/>
          <w:sz w:val="44"/>
          <w:szCs w:val="36"/>
        </w:rPr>
        <w:t>部门2020年度部门决算</w:t>
      </w:r>
    </w:p>
    <w:p>
      <w:pPr>
        <w:spacing w:line="600" w:lineRule="exact"/>
        <w:jc w:val="center"/>
        <w:rPr>
          <w:rFonts w:hint="eastAsia" w:ascii="黑体" w:eastAsia="黑体"/>
          <w:sz w:val="44"/>
          <w:szCs w:val="36"/>
          <w:lang w:eastAsia="zh-CN"/>
        </w:rPr>
      </w:pPr>
    </w:p>
    <w:p>
      <w:pPr>
        <w:spacing w:line="600" w:lineRule="exact"/>
        <w:jc w:val="center"/>
        <w:rPr>
          <w:rFonts w:hint="eastAsia" w:ascii="宋体" w:hAnsi="宋体" w:eastAsia="宋体" w:cs="宋体"/>
          <w:b/>
          <w:bCs/>
          <w:sz w:val="40"/>
          <w:szCs w:val="36"/>
        </w:rPr>
      </w:pPr>
      <w:r>
        <w:rPr>
          <w:rFonts w:hint="eastAsia" w:ascii="宋体" w:hAnsi="宋体" w:eastAsia="宋体" w:cs="宋体"/>
          <w:b/>
          <w:bCs/>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val="0"/>
          <w:bCs/>
          <w:sz w:val="32"/>
          <w:szCs w:val="32"/>
        </w:rPr>
        <w:t xml:space="preserve">第一部分  </w:t>
      </w:r>
      <w:r>
        <w:rPr>
          <w:rFonts w:hint="eastAsia" w:ascii="黑体" w:hAnsi="黑体" w:eastAsia="黑体"/>
          <w:b w:val="0"/>
          <w:bCs/>
          <w:sz w:val="32"/>
          <w:szCs w:val="32"/>
          <w:lang w:eastAsia="zh-CN"/>
        </w:rPr>
        <w:t>赣州八五一台</w:t>
      </w:r>
      <w:r>
        <w:rPr>
          <w:rFonts w:hint="eastAsia" w:ascii="黑体" w:hAnsi="黑体" w:eastAsia="黑体"/>
          <w:b w:val="0"/>
          <w:bCs/>
          <w:sz w:val="32"/>
          <w:szCs w:val="32"/>
        </w:rPr>
        <w:t>部门概况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b w:val="0"/>
          <w:bCs w:val="0"/>
          <w:sz w:val="32"/>
          <w:szCs w:val="32"/>
        </w:rPr>
      </w:pPr>
      <w:r>
        <w:rPr>
          <w:rFonts w:hint="eastAsia" w:ascii="黑体" w:hAnsi="黑体" w:eastAsia="黑体"/>
          <w:b w:val="0"/>
          <w:bCs w:val="0"/>
          <w:sz w:val="32"/>
          <w:szCs w:val="32"/>
        </w:rPr>
        <w:t>第二部分  2020年度部门决算表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七、“三公”经费支出决算表</w:t>
      </w:r>
    </w:p>
    <w:p>
      <w:pPr>
        <w:widowControl/>
        <w:numPr>
          <w:ilvl w:val="0"/>
          <w:numId w:val="1"/>
        </w:numPr>
        <w:spacing w:line="600" w:lineRule="exact"/>
        <w:ind w:left="1280" w:leftChars="0" w:firstLine="0" w:firstLineChars="0"/>
        <w:jc w:val="left"/>
        <w:rPr>
          <w:rFonts w:hint="eastAsia" w:ascii="仿宋" w:hAnsi="仿宋" w:eastAsia="仿宋" w:cs="宋体"/>
          <w:kern w:val="0"/>
          <w:sz w:val="32"/>
          <w:szCs w:val="32"/>
        </w:rPr>
      </w:pPr>
      <w:r>
        <w:rPr>
          <w:rFonts w:hint="eastAsia" w:ascii="仿宋" w:hAnsi="仿宋" w:eastAsia="仿宋" w:cs="宋体"/>
          <w:kern w:val="0"/>
          <w:sz w:val="32"/>
          <w:szCs w:val="32"/>
        </w:rPr>
        <w:t>政府性基金预算财政拨款收入支出决算表</w:t>
      </w:r>
    </w:p>
    <w:p>
      <w:pPr>
        <w:widowControl/>
        <w:numPr>
          <w:ilvl w:val="0"/>
          <w:numId w:val="1"/>
        </w:numPr>
        <w:spacing w:line="600" w:lineRule="exact"/>
        <w:ind w:left="1280" w:leftChars="0" w:firstLine="0" w:firstLineChars="0"/>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国有资本经营预算财政拨款支出决算表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2020年度部门决算情况说明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五、“三公”经费支出决算情况说明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
    <w:p/>
    <w:p/>
    <w:p/>
    <w:p/>
    <w:p/>
    <w:p/>
    <w:p/>
    <w:p/>
    <w:p/>
    <w:p/>
    <w:p/>
    <w:p/>
    <w:p/>
    <w:p/>
    <w:p/>
    <w:p/>
    <w:p/>
    <w:p/>
    <w:p/>
    <w:p/>
    <w:p/>
    <w:p/>
    <w:p/>
    <w:p/>
    <w:p/>
    <w:p/>
    <w:p/>
    <w:p/>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赣州八五一台</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numPr>
          <w:ilvl w:val="0"/>
          <w:numId w:val="2"/>
        </w:numPr>
        <w:ind w:firstLine="630"/>
        <w:jc w:val="left"/>
        <w:rPr>
          <w:rFonts w:hint="eastAsia" w:ascii="黑体" w:hAnsi="黑体" w:eastAsia="黑体"/>
          <w:sz w:val="30"/>
          <w:szCs w:val="30"/>
        </w:rPr>
      </w:pPr>
      <w:r>
        <w:rPr>
          <w:rFonts w:hint="eastAsia" w:ascii="黑体" w:hAnsi="黑体" w:eastAsia="黑体"/>
          <w:sz w:val="30"/>
          <w:szCs w:val="30"/>
        </w:rPr>
        <w:t>部门主要职能</w:t>
      </w:r>
    </w:p>
    <w:p>
      <w:pPr>
        <w:numPr>
          <w:ilvl w:val="0"/>
          <w:numId w:val="0"/>
        </w:numPr>
        <w:jc w:val="left"/>
        <w:rPr>
          <w:rFonts w:hint="eastAsia" w:ascii="仿宋" w:hAnsi="仿宋" w:eastAsia="仿宋"/>
          <w:sz w:val="30"/>
          <w:szCs w:val="30"/>
          <w:lang w:val="en-US" w:eastAsia="zh-CN"/>
        </w:rPr>
      </w:pPr>
      <w:r>
        <w:rPr>
          <w:rFonts w:hint="eastAsia" w:ascii="黑体" w:hAnsi="黑体" w:eastAsia="黑体"/>
          <w:sz w:val="30"/>
          <w:szCs w:val="30"/>
          <w:lang w:val="en-US" w:eastAsia="zh-CN"/>
        </w:rPr>
        <w:t xml:space="preserve">   </w:t>
      </w:r>
      <w:r>
        <w:rPr>
          <w:rFonts w:hint="eastAsia" w:ascii="仿宋" w:hAnsi="仿宋" w:eastAsia="仿宋" w:cs="仿宋"/>
          <w:sz w:val="30"/>
          <w:szCs w:val="30"/>
          <w:lang w:val="en-US" w:eastAsia="zh-CN"/>
        </w:rPr>
        <w:t xml:space="preserve"> 本部门</w:t>
      </w:r>
      <w:r>
        <w:rPr>
          <w:rFonts w:hint="eastAsia" w:ascii="仿宋" w:hAnsi="仿宋" w:eastAsia="仿宋"/>
          <w:sz w:val="30"/>
          <w:szCs w:val="30"/>
        </w:rPr>
        <w:t>隶属赣州市文广新</w:t>
      </w:r>
      <w:r>
        <w:rPr>
          <w:rFonts w:hint="eastAsia" w:ascii="仿宋" w:hAnsi="仿宋" w:eastAsia="仿宋"/>
          <w:sz w:val="30"/>
          <w:szCs w:val="30"/>
          <w:lang w:eastAsia="zh-CN"/>
        </w:rPr>
        <w:t>旅</w:t>
      </w:r>
      <w:r>
        <w:rPr>
          <w:rFonts w:hint="eastAsia" w:ascii="仿宋" w:hAnsi="仿宋" w:eastAsia="仿宋"/>
          <w:sz w:val="30"/>
          <w:szCs w:val="30"/>
        </w:rPr>
        <w:t>局，属全额拨款事业单位，主要职能是负责完成中波试验任务、广播电视节目监测和全市广播电视安全播出指挥调度。</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30"/>
        <w:jc w:val="left"/>
        <w:rPr>
          <w:rFonts w:hint="eastAsia" w:ascii="仿宋" w:hAnsi="仿宋" w:eastAsia="仿宋"/>
          <w:sz w:val="30"/>
          <w:szCs w:val="30"/>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1个，包括：赣州八五一台</w:t>
      </w:r>
      <w:r>
        <w:rPr>
          <w:rFonts w:hint="eastAsia" w:ascii="仿宋" w:hAnsi="仿宋" w:eastAsia="仿宋"/>
          <w:sz w:val="30"/>
          <w:szCs w:val="30"/>
        </w:rPr>
        <w:t>。</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 xml:space="preserve">本部门2020年年末实有人数 </w:t>
      </w:r>
      <w:r>
        <w:rPr>
          <w:rFonts w:hint="eastAsia" w:ascii="仿宋" w:hAnsi="仿宋" w:eastAsia="仿宋"/>
          <w:sz w:val="30"/>
          <w:szCs w:val="30"/>
          <w:lang w:val="en-US" w:eastAsia="zh-CN"/>
        </w:rPr>
        <w:t>32</w:t>
      </w:r>
      <w:r>
        <w:rPr>
          <w:rFonts w:hint="eastAsia" w:ascii="仿宋" w:hAnsi="仿宋" w:eastAsia="仿宋"/>
          <w:sz w:val="30"/>
          <w:szCs w:val="30"/>
        </w:rPr>
        <w:t>人</w:t>
      </w:r>
      <w:r>
        <w:rPr>
          <w:rFonts w:hint="eastAsia" w:ascii="仿宋" w:hAnsi="仿宋" w:eastAsia="仿宋"/>
          <w:sz w:val="30"/>
          <w:szCs w:val="30"/>
          <w:lang w:eastAsia="zh-CN"/>
        </w:rPr>
        <w:t>，其中在职人员</w:t>
      </w:r>
      <w:r>
        <w:rPr>
          <w:rFonts w:hint="eastAsia" w:ascii="仿宋" w:hAnsi="仿宋" w:eastAsia="仿宋"/>
          <w:sz w:val="30"/>
          <w:szCs w:val="30"/>
          <w:lang w:val="en-US" w:eastAsia="zh-CN"/>
        </w:rPr>
        <w:t>18人，</w:t>
      </w:r>
      <w:r>
        <w:rPr>
          <w:rFonts w:hint="eastAsia" w:ascii="仿宋" w:hAnsi="仿宋" w:eastAsia="仿宋"/>
          <w:sz w:val="30"/>
          <w:szCs w:val="30"/>
        </w:rPr>
        <w:t xml:space="preserve">离休人员 </w:t>
      </w:r>
      <w:r>
        <w:rPr>
          <w:rFonts w:hint="eastAsia" w:ascii="仿宋" w:hAnsi="仿宋" w:eastAsia="仿宋"/>
          <w:sz w:val="30"/>
          <w:szCs w:val="30"/>
          <w:lang w:val="en-US" w:eastAsia="zh-CN"/>
        </w:rPr>
        <w:t>0</w:t>
      </w:r>
      <w:r>
        <w:rPr>
          <w:rFonts w:hint="eastAsia" w:ascii="仿宋" w:hAnsi="仿宋" w:eastAsia="仿宋"/>
          <w:sz w:val="30"/>
          <w:szCs w:val="30"/>
        </w:rPr>
        <w:t xml:space="preserve">人，退休人员 </w:t>
      </w:r>
      <w:r>
        <w:rPr>
          <w:rFonts w:hint="eastAsia" w:ascii="仿宋" w:hAnsi="仿宋" w:eastAsia="仿宋"/>
          <w:sz w:val="30"/>
          <w:szCs w:val="30"/>
          <w:lang w:val="en-US" w:eastAsia="zh-CN"/>
        </w:rPr>
        <w:t>14</w:t>
      </w:r>
      <w:r>
        <w:rPr>
          <w:rFonts w:hint="eastAsia" w:ascii="仿宋" w:hAnsi="仿宋" w:eastAsia="仿宋"/>
          <w:sz w:val="30"/>
          <w:szCs w:val="30"/>
        </w:rPr>
        <w:t>人；年末其他人员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bookmarkStart w:id="0" w:name="_GoBack"/>
      <w:bookmarkEnd w:id="0"/>
    </w:p>
    <w:p>
      <w:pPr>
        <w:ind w:firstLine="630"/>
        <w:jc w:val="left"/>
        <w:rPr>
          <w:rFonts w:hint="eastAsia" w:ascii="仿宋" w:hAnsi="仿宋" w:eastAsia="仿宋"/>
          <w:sz w:val="30"/>
          <w:szCs w:val="30"/>
        </w:rPr>
      </w:pPr>
    </w:p>
    <w:p>
      <w:pPr>
        <w:widowControl/>
        <w:numPr>
          <w:ilvl w:val="0"/>
          <w:numId w:val="3"/>
        </w:numPr>
        <w:spacing w:line="600" w:lineRule="exact"/>
        <w:ind w:firstLine="640"/>
        <w:jc w:val="center"/>
        <w:rPr>
          <w:rFonts w:hint="eastAsia" w:ascii="宋体" w:hAnsi="宋体"/>
          <w:b/>
          <w:sz w:val="32"/>
          <w:szCs w:val="32"/>
        </w:rPr>
      </w:pPr>
      <w:r>
        <w:rPr>
          <w:rFonts w:hint="eastAsia" w:ascii="宋体" w:hAnsi="宋体"/>
          <w:b/>
          <w:sz w:val="32"/>
          <w:szCs w:val="32"/>
        </w:rPr>
        <w:t xml:space="preserve">  2020年度部门决算表</w:t>
      </w:r>
    </w:p>
    <w:p>
      <w:pPr>
        <w:widowControl/>
        <w:numPr>
          <w:ilvl w:val="0"/>
          <w:numId w:val="0"/>
        </w:numPr>
        <w:spacing w:line="600" w:lineRule="exact"/>
        <w:jc w:val="both"/>
        <w:rPr>
          <w:rFonts w:hint="eastAsia" w:ascii="宋体" w:hAnsi="宋体"/>
          <w:b/>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tbl>
      <w:tblPr>
        <w:tblStyle w:val="4"/>
        <w:tblpPr w:leftFromText="180" w:rightFromText="180" w:vertAnchor="text" w:horzAnchor="page" w:tblpX="1262" w:tblpY="261"/>
        <w:tblOverlap w:val="never"/>
        <w:tblW w:w="9270" w:type="dxa"/>
        <w:tblInd w:w="0" w:type="dxa"/>
        <w:shd w:val="clear" w:color="auto" w:fill="auto"/>
        <w:tblLayout w:type="fixed"/>
        <w:tblCellMar>
          <w:top w:w="0" w:type="dxa"/>
          <w:left w:w="0" w:type="dxa"/>
          <w:bottom w:w="0" w:type="dxa"/>
          <w:right w:w="0" w:type="dxa"/>
        </w:tblCellMar>
      </w:tblPr>
      <w:tblGrid>
        <w:gridCol w:w="3221"/>
        <w:gridCol w:w="474"/>
        <w:gridCol w:w="819"/>
        <w:gridCol w:w="3019"/>
        <w:gridCol w:w="573"/>
        <w:gridCol w:w="1164"/>
      </w:tblGrid>
      <w:tr>
        <w:tblPrEx>
          <w:shd w:val="clear" w:color="auto" w:fill="auto"/>
          <w:tblCellMar>
            <w:top w:w="0" w:type="dxa"/>
            <w:left w:w="0" w:type="dxa"/>
            <w:bottom w:w="0" w:type="dxa"/>
            <w:right w:w="0" w:type="dxa"/>
          </w:tblCellMar>
        </w:tblPrEx>
        <w:trPr>
          <w:trHeight w:val="555" w:hRule="atLeast"/>
        </w:trPr>
        <w:tc>
          <w:tcPr>
            <w:tcW w:w="9270" w:type="dxa"/>
            <w:gridSpan w:val="6"/>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收入支出决算总表</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Tahoma" w:hAnsi="Tahoma" w:eastAsia="Tahoma" w:cs="Tahoma"/>
                <w:i w:val="0"/>
                <w:color w:val="000000"/>
                <w:sz w:val="16"/>
                <w:szCs w:val="16"/>
                <w:u w:val="none"/>
              </w:rPr>
            </w:pPr>
          </w:p>
        </w:tc>
        <w:tc>
          <w:tcPr>
            <w:tcW w:w="474" w:type="dxa"/>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18"/>
                <w:szCs w:val="18"/>
                <w:u w:val="none"/>
              </w:rPr>
            </w:pPr>
          </w:p>
        </w:tc>
        <w:tc>
          <w:tcPr>
            <w:tcW w:w="819" w:type="dxa"/>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18"/>
                <w:szCs w:val="18"/>
                <w:u w:val="none"/>
              </w:rPr>
            </w:pPr>
          </w:p>
        </w:tc>
        <w:tc>
          <w:tcPr>
            <w:tcW w:w="3019" w:type="dxa"/>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18"/>
                <w:szCs w:val="18"/>
                <w:u w:val="none"/>
              </w:rPr>
            </w:pPr>
          </w:p>
        </w:tc>
        <w:tc>
          <w:tcPr>
            <w:tcW w:w="1737" w:type="dxa"/>
            <w:gridSpan w:val="2"/>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公开01表</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编制单位：赣州851台</w:t>
            </w:r>
          </w:p>
        </w:tc>
        <w:tc>
          <w:tcPr>
            <w:tcW w:w="1293" w:type="dxa"/>
            <w:gridSpan w:val="2"/>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3019" w:type="dxa"/>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18"/>
                <w:szCs w:val="18"/>
                <w:u w:val="none"/>
              </w:rPr>
            </w:pPr>
          </w:p>
        </w:tc>
        <w:tc>
          <w:tcPr>
            <w:tcW w:w="1737" w:type="dxa"/>
            <w:gridSpan w:val="2"/>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270" w:hRule="atLeast"/>
        </w:trPr>
        <w:tc>
          <w:tcPr>
            <w:tcW w:w="4514"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     入</w:t>
            </w:r>
          </w:p>
        </w:tc>
        <w:tc>
          <w:tcPr>
            <w:tcW w:w="4756"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     出</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项目（按功能分类）</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    次</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color w:val="000000"/>
                <w:sz w:val="20"/>
                <w:szCs w:val="20"/>
                <w:u w:val="none"/>
              </w:rPr>
            </w:pP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    次</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color w:val="000000"/>
                <w:sz w:val="20"/>
                <w:szCs w:val="20"/>
                <w:u w:val="none"/>
              </w:rPr>
            </w:pP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一、一般公共预算财政拨款收入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三、国有资本经营预算财政拨款收入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四、上级补助收入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五、事业收入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六、经营收入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七、附属单位上缴收入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162.29</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八、其他收入</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18.78</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九、卫生健康支出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20.54</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十、节能环保支出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十一、城乡社区支出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十二、农林水支出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十三、交通运输支出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15"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十四、资源勘探工业信息等支出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十五、商业服务业等支出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十六、金融支出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十七、援助其他地区支出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十八、自然资源海洋气象等支出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十九、住房保障支出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二十、粮油物资储备支出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二十一、国有资本经营预算支出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二十二、灾害防治及应急管理支出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二十三、其他支出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二十四、债务还本支出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二十五、债务付息支出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二十六、抗疫特别国债安排的支出</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本年收入合计</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213.16</w:t>
            </w:r>
          </w:p>
        </w:tc>
      </w:tr>
      <w:tr>
        <w:tblPrEx>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使用非财政拨款结余</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结余分配                 </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年初结转和结余</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18.09</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年末结转和结余                                </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i w:val="0"/>
                <w:color w:val="000000"/>
                <w:sz w:val="20"/>
                <w:szCs w:val="20"/>
                <w:u w:val="none"/>
              </w:rPr>
            </w:pP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i w:val="0"/>
                <w:color w:val="000000"/>
                <w:sz w:val="20"/>
                <w:szCs w:val="20"/>
                <w:u w:val="none"/>
              </w:rPr>
            </w:pP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2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4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213.16</w:t>
            </w:r>
          </w:p>
        </w:tc>
        <w:tc>
          <w:tcPr>
            <w:tcW w:w="30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1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213.16</w:t>
            </w:r>
          </w:p>
        </w:tc>
      </w:tr>
      <w:tr>
        <w:tblPrEx>
          <w:tblCellMar>
            <w:top w:w="0" w:type="dxa"/>
            <w:left w:w="0" w:type="dxa"/>
            <w:bottom w:w="0" w:type="dxa"/>
            <w:right w:w="0" w:type="dxa"/>
          </w:tblCellMar>
        </w:tblPrEx>
        <w:trPr>
          <w:trHeight w:val="390" w:hRule="atLeast"/>
        </w:trPr>
        <w:tc>
          <w:tcPr>
            <w:tcW w:w="9270" w:type="dxa"/>
            <w:gridSpan w:val="6"/>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注：1.本表反映部门本年度的总收支和年末结转结余情况。</w:t>
            </w:r>
          </w:p>
        </w:tc>
      </w:tr>
      <w:tr>
        <w:tblPrEx>
          <w:tblCellMar>
            <w:top w:w="0" w:type="dxa"/>
            <w:left w:w="0" w:type="dxa"/>
            <w:bottom w:w="0" w:type="dxa"/>
            <w:right w:w="0" w:type="dxa"/>
          </w:tblCellMar>
        </w:tblPrEx>
        <w:trPr>
          <w:trHeight w:val="300" w:hRule="atLeast"/>
        </w:trPr>
        <w:tc>
          <w:tcPr>
            <w:tcW w:w="9270" w:type="dxa"/>
            <w:gridSpan w:val="6"/>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2.本套报表金额单位转换时可能存在尾数误差。</w:t>
            </w:r>
          </w:p>
        </w:tc>
      </w:tr>
    </w:tbl>
    <w:p/>
    <w:p/>
    <w:tbl>
      <w:tblPr>
        <w:tblStyle w:val="4"/>
        <w:tblpPr w:leftFromText="180" w:rightFromText="180" w:vertAnchor="text" w:horzAnchor="page" w:tblpX="1092" w:tblpY="300"/>
        <w:tblOverlap w:val="never"/>
        <w:tblW w:w="9704" w:type="dxa"/>
        <w:tblInd w:w="0" w:type="dxa"/>
        <w:shd w:val="clear" w:color="auto" w:fill="auto"/>
        <w:tblLayout w:type="fixed"/>
        <w:tblCellMar>
          <w:top w:w="0" w:type="dxa"/>
          <w:left w:w="0" w:type="dxa"/>
          <w:bottom w:w="0" w:type="dxa"/>
          <w:right w:w="0" w:type="dxa"/>
        </w:tblCellMar>
      </w:tblPr>
      <w:tblGrid>
        <w:gridCol w:w="729"/>
        <w:gridCol w:w="240"/>
        <w:gridCol w:w="253"/>
        <w:gridCol w:w="3454"/>
        <w:gridCol w:w="770"/>
        <w:gridCol w:w="829"/>
        <w:gridCol w:w="612"/>
        <w:gridCol w:w="750"/>
        <w:gridCol w:w="710"/>
        <w:gridCol w:w="686"/>
        <w:gridCol w:w="671"/>
      </w:tblGrid>
      <w:tr>
        <w:tblPrEx>
          <w:tblCellMar>
            <w:top w:w="0" w:type="dxa"/>
            <w:left w:w="0" w:type="dxa"/>
            <w:bottom w:w="0" w:type="dxa"/>
            <w:right w:w="0" w:type="dxa"/>
          </w:tblCellMar>
        </w:tblPrEx>
        <w:trPr>
          <w:trHeight w:val="555" w:hRule="atLeast"/>
        </w:trPr>
        <w:tc>
          <w:tcPr>
            <w:tcW w:w="9704" w:type="dxa"/>
            <w:gridSpan w:val="11"/>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收入决算表</w:t>
            </w:r>
          </w:p>
        </w:tc>
      </w:tr>
      <w:tr>
        <w:tblPrEx>
          <w:shd w:val="clear" w:color="auto" w:fill="auto"/>
          <w:tblCellMar>
            <w:top w:w="0" w:type="dxa"/>
            <w:left w:w="0" w:type="dxa"/>
            <w:bottom w:w="0" w:type="dxa"/>
            <w:right w:w="0" w:type="dxa"/>
          </w:tblCellMar>
        </w:tblPrEx>
        <w:trPr>
          <w:trHeight w:val="300" w:hRule="atLeast"/>
        </w:trPr>
        <w:tc>
          <w:tcPr>
            <w:tcW w:w="729"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24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53"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5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7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29"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12"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1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57" w:type="dxa"/>
            <w:gridSpan w:val="2"/>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公开02表</w:t>
            </w:r>
          </w:p>
        </w:tc>
      </w:tr>
      <w:tr>
        <w:tblPrEx>
          <w:shd w:val="clear" w:color="auto" w:fill="auto"/>
          <w:tblCellMar>
            <w:top w:w="0" w:type="dxa"/>
            <w:left w:w="0" w:type="dxa"/>
            <w:bottom w:w="0" w:type="dxa"/>
            <w:right w:w="0" w:type="dxa"/>
          </w:tblCellMar>
        </w:tblPrEx>
        <w:trPr>
          <w:trHeight w:val="300" w:hRule="atLeast"/>
        </w:trPr>
        <w:tc>
          <w:tcPr>
            <w:tcW w:w="4676" w:type="dxa"/>
            <w:gridSpan w:val="4"/>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2"/>
                <w:szCs w:val="22"/>
                <w:u w:val="none"/>
                <w:lang w:val="en-US" w:eastAsia="zh-CN" w:bidi="ar"/>
              </w:rPr>
              <w:t>编制单位：赣州851台</w:t>
            </w:r>
          </w:p>
        </w:tc>
        <w:tc>
          <w:tcPr>
            <w:tcW w:w="1599" w:type="dxa"/>
            <w:gridSpan w:val="2"/>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612"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50"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067" w:type="dxa"/>
            <w:gridSpan w:val="3"/>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300" w:hRule="atLeast"/>
        </w:trPr>
        <w:tc>
          <w:tcPr>
            <w:tcW w:w="467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本年收入合计</w:t>
            </w: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财政拨款收入</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上级补助收入</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事业收入</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经营收入</w:t>
            </w:r>
          </w:p>
        </w:tc>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附属单位上缴收入</w:t>
            </w:r>
          </w:p>
        </w:tc>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其他收入</w:t>
            </w:r>
          </w:p>
        </w:tc>
      </w:tr>
      <w:tr>
        <w:tblPrEx>
          <w:shd w:val="clear" w:color="auto" w:fill="auto"/>
          <w:tblCellMar>
            <w:top w:w="0" w:type="dxa"/>
            <w:left w:w="0" w:type="dxa"/>
            <w:bottom w:w="0" w:type="dxa"/>
            <w:right w:w="0" w:type="dxa"/>
          </w:tblCellMar>
        </w:tblPrEx>
        <w:trPr>
          <w:trHeight w:val="300" w:hRule="atLeast"/>
        </w:trPr>
        <w:tc>
          <w:tcPr>
            <w:tcW w:w="12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345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5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5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00" w:hRule="atLeast"/>
        </w:trPr>
        <w:tc>
          <w:tcPr>
            <w:tcW w:w="729"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24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253"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 </w:t>
            </w:r>
          </w:p>
        </w:tc>
      </w:tr>
      <w:tr>
        <w:tblPrEx>
          <w:shd w:val="clear" w:color="auto" w:fill="auto"/>
          <w:tblCellMar>
            <w:top w:w="0" w:type="dxa"/>
            <w:left w:w="0" w:type="dxa"/>
            <w:bottom w:w="0" w:type="dxa"/>
            <w:right w:w="0" w:type="dxa"/>
          </w:tblCellMar>
        </w:tblPrEx>
        <w:trPr>
          <w:trHeight w:val="400" w:hRule="atLeast"/>
        </w:trPr>
        <w:tc>
          <w:tcPr>
            <w:tcW w:w="729"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4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文化旅游体育与传媒支出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20708</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广播电视</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2070805</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电视</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144.21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144.21</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社会保障和就业支出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行政事业单位养老支出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2080506</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机关事业单位职业年金缴费支出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2101103</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公务员医疗补助</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住房保障支出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22102</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住房改革支出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0" w:hRule="atLeast"/>
        </w:trPr>
        <w:tc>
          <w:tcPr>
            <w:tcW w:w="122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2210201</w:t>
            </w:r>
          </w:p>
        </w:tc>
        <w:tc>
          <w:tcPr>
            <w:tcW w:w="34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住房公积金</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8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67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05" w:hRule="atLeast"/>
        </w:trPr>
        <w:tc>
          <w:tcPr>
            <w:tcW w:w="9704" w:type="dxa"/>
            <w:gridSpan w:val="11"/>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注：本表反映部门本年度取得的各项收入情况。</w:t>
            </w:r>
          </w:p>
        </w:tc>
      </w:tr>
    </w:tbl>
    <w:p/>
    <w:p/>
    <w:p/>
    <w:p/>
    <w:p/>
    <w:p/>
    <w:p/>
    <w:p/>
    <w:p/>
    <w:p/>
    <w:tbl>
      <w:tblPr>
        <w:tblStyle w:val="4"/>
        <w:tblpPr w:leftFromText="180" w:rightFromText="180" w:vertAnchor="text" w:horzAnchor="page" w:tblpX="1139" w:tblpY="24"/>
        <w:tblOverlap w:val="never"/>
        <w:tblW w:w="9749" w:type="dxa"/>
        <w:tblInd w:w="0" w:type="dxa"/>
        <w:shd w:val="clear" w:color="auto" w:fill="auto"/>
        <w:tblLayout w:type="fixed"/>
        <w:tblCellMar>
          <w:top w:w="0" w:type="dxa"/>
          <w:left w:w="0" w:type="dxa"/>
          <w:bottom w:w="0" w:type="dxa"/>
          <w:right w:w="0" w:type="dxa"/>
        </w:tblCellMar>
      </w:tblPr>
      <w:tblGrid>
        <w:gridCol w:w="591"/>
        <w:gridCol w:w="256"/>
        <w:gridCol w:w="356"/>
        <w:gridCol w:w="3567"/>
        <w:gridCol w:w="908"/>
        <w:gridCol w:w="829"/>
        <w:gridCol w:w="814"/>
        <w:gridCol w:w="789"/>
        <w:gridCol w:w="829"/>
        <w:gridCol w:w="810"/>
      </w:tblGrid>
      <w:tr>
        <w:tblPrEx>
          <w:shd w:val="clear" w:color="auto" w:fill="auto"/>
          <w:tblCellMar>
            <w:top w:w="0" w:type="dxa"/>
            <w:left w:w="0" w:type="dxa"/>
            <w:bottom w:w="0" w:type="dxa"/>
            <w:right w:w="0" w:type="dxa"/>
          </w:tblCellMar>
        </w:tblPrEx>
        <w:trPr>
          <w:trHeight w:val="555" w:hRule="atLeast"/>
        </w:trPr>
        <w:tc>
          <w:tcPr>
            <w:tcW w:w="974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支出决算表</w:t>
            </w:r>
          </w:p>
        </w:tc>
      </w:tr>
      <w:tr>
        <w:tblPrEx>
          <w:shd w:val="clear" w:color="auto" w:fill="auto"/>
          <w:tblCellMar>
            <w:top w:w="0" w:type="dxa"/>
            <w:left w:w="0" w:type="dxa"/>
            <w:bottom w:w="0" w:type="dxa"/>
            <w:right w:w="0" w:type="dxa"/>
          </w:tblCellMar>
        </w:tblPrEx>
        <w:trPr>
          <w:trHeight w:val="300" w:hRule="atLeast"/>
        </w:trPr>
        <w:tc>
          <w:tcPr>
            <w:tcW w:w="591"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25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5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567"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908"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29"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1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39"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公开03表</w:t>
            </w:r>
          </w:p>
        </w:tc>
      </w:tr>
      <w:tr>
        <w:tblPrEx>
          <w:tblCellMar>
            <w:top w:w="0" w:type="dxa"/>
            <w:left w:w="0" w:type="dxa"/>
            <w:bottom w:w="0" w:type="dxa"/>
            <w:right w:w="0" w:type="dxa"/>
          </w:tblCellMar>
        </w:tblPrEx>
        <w:trPr>
          <w:trHeight w:val="300" w:hRule="atLeast"/>
        </w:trPr>
        <w:tc>
          <w:tcPr>
            <w:tcW w:w="4770" w:type="dxa"/>
            <w:gridSpan w:val="4"/>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2"/>
                <w:szCs w:val="22"/>
                <w:u w:val="none"/>
                <w:lang w:val="en-US" w:eastAsia="zh-CN" w:bidi="ar"/>
              </w:rPr>
              <w:t>编制单位：赣州851台</w:t>
            </w:r>
          </w:p>
        </w:tc>
        <w:tc>
          <w:tcPr>
            <w:tcW w:w="1737" w:type="dxa"/>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2"/>
                <w:szCs w:val="22"/>
                <w:u w:val="none"/>
                <w:lang w:val="en-US" w:eastAsia="zh-CN" w:bidi="ar"/>
              </w:rPr>
              <w:t xml:space="preserve">   2020年度</w:t>
            </w:r>
          </w:p>
        </w:tc>
        <w:tc>
          <w:tcPr>
            <w:tcW w:w="814"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28" w:type="dxa"/>
            <w:gridSpan w:val="3"/>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CellMar>
            <w:top w:w="0" w:type="dxa"/>
            <w:left w:w="0" w:type="dxa"/>
            <w:bottom w:w="0" w:type="dxa"/>
            <w:right w:w="0" w:type="dxa"/>
          </w:tblCellMar>
        </w:tblPrEx>
        <w:trPr>
          <w:trHeight w:val="300" w:hRule="atLeast"/>
        </w:trPr>
        <w:tc>
          <w:tcPr>
            <w:tcW w:w="4770"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90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82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基本</w:t>
            </w: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w:t>
            </w:r>
          </w:p>
        </w:tc>
        <w:tc>
          <w:tcPr>
            <w:tcW w:w="8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78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上缴上级支出</w:t>
            </w:r>
          </w:p>
        </w:tc>
        <w:tc>
          <w:tcPr>
            <w:tcW w:w="829" w:type="dxa"/>
            <w:vMerge w:val="restart"/>
            <w:tcBorders>
              <w:top w:val="nil"/>
              <w:left w:val="nil"/>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经营支出</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对附属单位补助支出</w:t>
            </w:r>
          </w:p>
        </w:tc>
      </w:tr>
      <w:tr>
        <w:tblPrEx>
          <w:shd w:val="clear" w:color="auto" w:fill="auto"/>
          <w:tblCellMar>
            <w:top w:w="0" w:type="dxa"/>
            <w:left w:w="0" w:type="dxa"/>
            <w:bottom w:w="0" w:type="dxa"/>
            <w:right w:w="0" w:type="dxa"/>
          </w:tblCellMar>
        </w:tblPrEx>
        <w:trPr>
          <w:trHeight w:val="300" w:hRule="atLeast"/>
        </w:trPr>
        <w:tc>
          <w:tcPr>
            <w:tcW w:w="1203"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3567"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90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00" w:hRule="atLeast"/>
        </w:trPr>
        <w:tc>
          <w:tcPr>
            <w:tcW w:w="1203"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67"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00" w:hRule="atLeast"/>
        </w:trPr>
        <w:tc>
          <w:tcPr>
            <w:tcW w:w="1203"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67"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8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591"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256"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356"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shd w:val="clear" w:color="auto" w:fill="auto"/>
          <w:tblCellMar>
            <w:top w:w="0" w:type="dxa"/>
            <w:left w:w="0" w:type="dxa"/>
            <w:bottom w:w="0" w:type="dxa"/>
            <w:right w:w="0" w:type="dxa"/>
          </w:tblCellMar>
        </w:tblPrEx>
        <w:trPr>
          <w:trHeight w:val="300" w:hRule="atLeast"/>
        </w:trPr>
        <w:tc>
          <w:tcPr>
            <w:tcW w:w="591"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213.16</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18.09</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文化旅游体育与传媒支出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162.29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18.09</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20708</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广播电视</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162.29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18.09</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2070804</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广播</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2070805</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电视</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154.29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144.21</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10.09</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社会保障和就业支出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行政事业单位养老支出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2080506</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机关事业单位职业年金缴费支出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9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2101103</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公务员医疗补助</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住房保障支出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22102</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住房改革支出</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20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2210201</w:t>
            </w:r>
          </w:p>
        </w:tc>
        <w:tc>
          <w:tcPr>
            <w:tcW w:w="356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住房公积金</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81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8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435" w:hRule="atLeast"/>
        </w:trPr>
        <w:tc>
          <w:tcPr>
            <w:tcW w:w="9749"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注：本表反映部门本年度各项支出情况。</w:t>
            </w:r>
          </w:p>
        </w:tc>
      </w:tr>
    </w:tbl>
    <w:p/>
    <w:p/>
    <w:p/>
    <w:p/>
    <w:p/>
    <w:p/>
    <w:p/>
    <w:p/>
    <w:p/>
    <w:p/>
    <w:p/>
    <w:p/>
    <w:p/>
    <w:tbl>
      <w:tblPr>
        <w:tblStyle w:val="4"/>
        <w:tblpPr w:leftFromText="180" w:rightFromText="180" w:vertAnchor="text" w:horzAnchor="page" w:tblpX="760" w:tblpY="78"/>
        <w:tblOverlap w:val="never"/>
        <w:tblW w:w="10420" w:type="dxa"/>
        <w:tblInd w:w="0" w:type="dxa"/>
        <w:shd w:val="clear" w:color="auto" w:fill="auto"/>
        <w:tblLayout w:type="fixed"/>
        <w:tblCellMar>
          <w:top w:w="0" w:type="dxa"/>
          <w:left w:w="0" w:type="dxa"/>
          <w:bottom w:w="0" w:type="dxa"/>
          <w:right w:w="0" w:type="dxa"/>
        </w:tblCellMar>
      </w:tblPr>
      <w:tblGrid>
        <w:gridCol w:w="2681"/>
        <w:gridCol w:w="290"/>
        <w:gridCol w:w="630"/>
        <w:gridCol w:w="2819"/>
        <w:gridCol w:w="512"/>
        <w:gridCol w:w="749"/>
        <w:gridCol w:w="912"/>
        <w:gridCol w:w="908"/>
        <w:gridCol w:w="919"/>
      </w:tblGrid>
      <w:tr>
        <w:tblPrEx>
          <w:shd w:val="clear" w:color="auto" w:fill="auto"/>
          <w:tblCellMar>
            <w:top w:w="0" w:type="dxa"/>
            <w:left w:w="0" w:type="dxa"/>
            <w:bottom w:w="0" w:type="dxa"/>
            <w:right w:w="0" w:type="dxa"/>
          </w:tblCellMar>
        </w:tblPrEx>
        <w:trPr>
          <w:trHeight w:val="420" w:hRule="atLeast"/>
        </w:trPr>
        <w:tc>
          <w:tcPr>
            <w:tcW w:w="1042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0"/>
                <w:szCs w:val="40"/>
                <w:u w:val="none"/>
              </w:rPr>
            </w:pPr>
            <w:r>
              <w:rPr>
                <w:rFonts w:hint="eastAsia" w:ascii="黑体" w:hAnsi="宋体" w:eastAsia="黑体" w:cs="黑体"/>
                <w:i w:val="0"/>
                <w:color w:val="000000"/>
                <w:kern w:val="0"/>
                <w:sz w:val="36"/>
                <w:szCs w:val="36"/>
                <w:u w:val="none"/>
                <w:lang w:val="en-US" w:eastAsia="zh-CN" w:bidi="ar"/>
              </w:rPr>
              <w:t>财政拨款收入支出决算总表</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Tahoma" w:hAnsi="Tahoma" w:eastAsia="Tahoma" w:cs="Tahoma"/>
                <w:i w:val="0"/>
                <w:color w:val="000000"/>
                <w:sz w:val="18"/>
                <w:szCs w:val="18"/>
                <w:u w:val="none"/>
              </w:rPr>
            </w:pPr>
          </w:p>
        </w:tc>
        <w:tc>
          <w:tcPr>
            <w:tcW w:w="29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63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51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749"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91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908"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919"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公开04表</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编制单位：赣州851台</w:t>
            </w:r>
          </w:p>
        </w:tc>
        <w:tc>
          <w:tcPr>
            <w:tcW w:w="290"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630"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4080" w:type="dxa"/>
            <w:gridSpan w:val="3"/>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2020年度</w:t>
            </w:r>
          </w:p>
        </w:tc>
        <w:tc>
          <w:tcPr>
            <w:tcW w:w="912"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1827" w:type="dxa"/>
            <w:gridSpan w:val="2"/>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金额单位：万元</w:t>
            </w:r>
          </w:p>
        </w:tc>
      </w:tr>
      <w:tr>
        <w:tblPrEx>
          <w:shd w:val="clear" w:color="auto" w:fill="auto"/>
          <w:tblCellMar>
            <w:top w:w="0" w:type="dxa"/>
            <w:left w:w="0" w:type="dxa"/>
            <w:bottom w:w="0" w:type="dxa"/>
            <w:right w:w="0" w:type="dxa"/>
          </w:tblCellMar>
        </w:tblPrEx>
        <w:trPr>
          <w:trHeight w:val="220" w:hRule="atLeast"/>
        </w:trPr>
        <w:tc>
          <w:tcPr>
            <w:tcW w:w="3601"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     入</w:t>
            </w:r>
          </w:p>
        </w:tc>
        <w:tc>
          <w:tcPr>
            <w:tcW w:w="681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     出</w:t>
            </w:r>
          </w:p>
        </w:tc>
      </w:tr>
      <w:tr>
        <w:tblPrEx>
          <w:shd w:val="clear" w:color="auto" w:fill="auto"/>
          <w:tblCellMar>
            <w:top w:w="0" w:type="dxa"/>
            <w:left w:w="0" w:type="dxa"/>
            <w:bottom w:w="0" w:type="dxa"/>
            <w:right w:w="0" w:type="dxa"/>
          </w:tblCellMar>
        </w:tblPrEx>
        <w:trPr>
          <w:trHeight w:val="2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29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63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c>
          <w:tcPr>
            <w:tcW w:w="2819"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项目（按功能分类）</w:t>
            </w:r>
          </w:p>
        </w:tc>
        <w:tc>
          <w:tcPr>
            <w:tcW w:w="51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3488"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shd w:val="clear" w:color="auto" w:fill="auto"/>
          <w:tblCellMar>
            <w:top w:w="0" w:type="dxa"/>
            <w:left w:w="0" w:type="dxa"/>
            <w:bottom w:w="0" w:type="dxa"/>
            <w:right w:w="0" w:type="dxa"/>
          </w:tblCellMar>
        </w:tblPrEx>
        <w:trPr>
          <w:trHeight w:val="87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29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63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2819"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51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7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9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一般公共预算财政拨款</w:t>
            </w:r>
          </w:p>
        </w:tc>
        <w:tc>
          <w:tcPr>
            <w:tcW w:w="9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政府性基金预算财政拨款</w:t>
            </w:r>
          </w:p>
        </w:tc>
        <w:tc>
          <w:tcPr>
            <w:tcW w:w="9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国有资本经营预算财政拨款</w:t>
            </w:r>
          </w:p>
        </w:tc>
      </w:tr>
      <w:tr>
        <w:tblPrEx>
          <w:shd w:val="clear" w:color="auto" w:fill="auto"/>
          <w:tblCellMar>
            <w:top w:w="0" w:type="dxa"/>
            <w:left w:w="0" w:type="dxa"/>
            <w:bottom w:w="0" w:type="dxa"/>
            <w:right w:w="0" w:type="dxa"/>
          </w:tblCellMar>
        </w:tblPrEx>
        <w:trPr>
          <w:trHeight w:val="285"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color w:val="000000"/>
                <w:sz w:val="18"/>
                <w:szCs w:val="18"/>
                <w:u w:val="none"/>
              </w:rPr>
            </w:pP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195.07</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三、国有资本经营预算财政拨款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55"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七、文化旅游体育与传媒支出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162.29</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162.29</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18.78</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18.78</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九、卫生健康支出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20.54</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20.54</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十四、资源勘探工业信息等支出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十八、自然资源海洋气象等支出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11.54</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11.54</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二十一、国有资本经营预算支出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二十二、灾害防治及应急管理支出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二十三、其他支出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二十四、债务还本支出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b/>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二十五、债务付息支出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二十六、抗疫特别国债安排的支出</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本年收入合计</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195.07</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本年支出合计</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213.16</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213.16</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年初财政拨款结转和结余</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18.09</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年末财政拨款结转和结余</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18.09</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85"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b/>
                <w:i w:val="0"/>
                <w:color w:val="000000"/>
                <w:sz w:val="18"/>
                <w:szCs w:val="18"/>
                <w:u w:val="none"/>
              </w:rPr>
            </w:pP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85"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三、国有资本经营预算财政拨款</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b/>
                <w:i w:val="0"/>
                <w:color w:val="000000"/>
                <w:sz w:val="18"/>
                <w:szCs w:val="18"/>
                <w:u w:val="none"/>
              </w:rPr>
            </w:pP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20" w:lineRule="exact"/>
              <w:jc w:val="right"/>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85" w:hRule="atLeast"/>
        </w:trPr>
        <w:tc>
          <w:tcPr>
            <w:tcW w:w="2681"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29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6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213.16</w:t>
            </w:r>
          </w:p>
        </w:tc>
        <w:tc>
          <w:tcPr>
            <w:tcW w:w="28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5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w:t>
            </w:r>
          </w:p>
        </w:tc>
        <w:tc>
          <w:tcPr>
            <w:tcW w:w="7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213.16</w:t>
            </w:r>
          </w:p>
        </w:tc>
        <w:tc>
          <w:tcPr>
            <w:tcW w:w="9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213.16</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480" w:hRule="atLeast"/>
        </w:trPr>
        <w:tc>
          <w:tcPr>
            <w:tcW w:w="104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注：本表反映部门本年度一般公共预算财政拨款、政府性基金预算财政拨款和国有资本经营预算财政拨款的总收支和年末结转结余情况。</w:t>
            </w:r>
          </w:p>
        </w:tc>
      </w:tr>
    </w:tbl>
    <w:p/>
    <w:tbl>
      <w:tblPr>
        <w:tblStyle w:val="4"/>
        <w:tblpPr w:leftFromText="180" w:rightFromText="180" w:vertAnchor="text" w:horzAnchor="page" w:tblpX="989" w:tblpY="1"/>
        <w:tblOverlap w:val="never"/>
        <w:tblW w:w="9670" w:type="dxa"/>
        <w:tblInd w:w="0" w:type="dxa"/>
        <w:shd w:val="clear" w:color="auto" w:fill="auto"/>
        <w:tblLayout w:type="fixed"/>
        <w:tblCellMar>
          <w:top w:w="0" w:type="dxa"/>
          <w:left w:w="0" w:type="dxa"/>
          <w:bottom w:w="0" w:type="dxa"/>
          <w:right w:w="0" w:type="dxa"/>
        </w:tblCellMar>
      </w:tblPr>
      <w:tblGrid>
        <w:gridCol w:w="354"/>
        <w:gridCol w:w="316"/>
        <w:gridCol w:w="434"/>
        <w:gridCol w:w="3928"/>
        <w:gridCol w:w="1598"/>
        <w:gridCol w:w="1402"/>
        <w:gridCol w:w="1638"/>
      </w:tblGrid>
      <w:tr>
        <w:tblPrEx>
          <w:shd w:val="clear" w:color="auto" w:fill="auto"/>
          <w:tblCellMar>
            <w:top w:w="0" w:type="dxa"/>
            <w:left w:w="0" w:type="dxa"/>
            <w:bottom w:w="0" w:type="dxa"/>
            <w:right w:w="0" w:type="dxa"/>
          </w:tblCellMar>
        </w:tblPrEx>
        <w:trPr>
          <w:trHeight w:val="555" w:hRule="atLeast"/>
        </w:trPr>
        <w:tc>
          <w:tcPr>
            <w:tcW w:w="9670" w:type="dxa"/>
            <w:gridSpan w:val="7"/>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一般公共预算财政拨款支出决算表</w:t>
            </w:r>
          </w:p>
        </w:tc>
      </w:tr>
      <w:tr>
        <w:tblPrEx>
          <w:shd w:val="clear" w:color="auto" w:fill="auto"/>
          <w:tblCellMar>
            <w:top w:w="0" w:type="dxa"/>
            <w:left w:w="0" w:type="dxa"/>
            <w:bottom w:w="0" w:type="dxa"/>
            <w:right w:w="0" w:type="dxa"/>
          </w:tblCellMar>
        </w:tblPrEx>
        <w:trPr>
          <w:trHeight w:val="300" w:hRule="atLeast"/>
        </w:trPr>
        <w:tc>
          <w:tcPr>
            <w:tcW w:w="35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316"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34"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928"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98"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02"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38"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公开05表</w:t>
            </w:r>
          </w:p>
        </w:tc>
      </w:tr>
      <w:tr>
        <w:tblPrEx>
          <w:shd w:val="clear" w:color="auto" w:fill="auto"/>
          <w:tblCellMar>
            <w:top w:w="0" w:type="dxa"/>
            <w:left w:w="0" w:type="dxa"/>
            <w:bottom w:w="0" w:type="dxa"/>
            <w:right w:w="0" w:type="dxa"/>
          </w:tblCellMar>
        </w:tblPrEx>
        <w:trPr>
          <w:trHeight w:val="300" w:hRule="atLeast"/>
        </w:trPr>
        <w:tc>
          <w:tcPr>
            <w:tcW w:w="5032" w:type="dxa"/>
            <w:gridSpan w:val="4"/>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编制单位：赣州851台       2020年度</w:t>
            </w:r>
          </w:p>
        </w:tc>
        <w:tc>
          <w:tcPr>
            <w:tcW w:w="1598" w:type="dxa"/>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02" w:type="dxa"/>
            <w:tcBorders>
              <w:top w:val="nil"/>
              <w:left w:val="nil"/>
              <w:bottom w:val="single" w:color="808080" w:sz="4" w:space="0"/>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38" w:type="dxa"/>
            <w:tcBorders>
              <w:top w:val="nil"/>
              <w:left w:val="nil"/>
              <w:bottom w:val="single" w:color="808080" w:sz="4" w:space="0"/>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330" w:hRule="atLeast"/>
        </w:trPr>
        <w:tc>
          <w:tcPr>
            <w:tcW w:w="5032" w:type="dxa"/>
            <w:gridSpan w:val="4"/>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1598"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1402"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1638"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r>
      <w:tr>
        <w:tblPrEx>
          <w:shd w:val="clear" w:color="auto" w:fill="auto"/>
          <w:tblCellMar>
            <w:top w:w="0" w:type="dxa"/>
            <w:left w:w="0" w:type="dxa"/>
            <w:bottom w:w="0" w:type="dxa"/>
            <w:right w:w="0" w:type="dxa"/>
          </w:tblCellMar>
        </w:tblPrEx>
        <w:trPr>
          <w:trHeight w:val="300" w:hRule="atLeast"/>
        </w:trPr>
        <w:tc>
          <w:tcPr>
            <w:tcW w:w="1104" w:type="dxa"/>
            <w:gridSpan w:val="3"/>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3928" w:type="dxa"/>
            <w:vMerge w:val="restart"/>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59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1104" w:type="dxa"/>
            <w:gridSpan w:val="3"/>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928" w:type="dxa"/>
            <w:vMerge w:val="continue"/>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104" w:type="dxa"/>
            <w:gridSpan w:val="3"/>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928" w:type="dxa"/>
            <w:vMerge w:val="continue"/>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38"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54" w:type="dxa"/>
            <w:vMerge w:val="restart"/>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316" w:type="dxa"/>
            <w:vMerge w:val="restart"/>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434" w:type="dxa"/>
            <w:vMerge w:val="restart"/>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354" w:type="dxa"/>
            <w:vMerge w:val="continue"/>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0"/>
                <w:szCs w:val="20"/>
                <w:u w:val="none"/>
              </w:rPr>
            </w:pPr>
          </w:p>
        </w:tc>
        <w:tc>
          <w:tcPr>
            <w:tcW w:w="316" w:type="dxa"/>
            <w:vMerge w:val="continue"/>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0"/>
                <w:szCs w:val="20"/>
                <w:u w:val="none"/>
              </w:rPr>
            </w:pPr>
          </w:p>
        </w:tc>
        <w:tc>
          <w:tcPr>
            <w:tcW w:w="434" w:type="dxa"/>
            <w:vMerge w:val="continue"/>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0"/>
                <w:szCs w:val="20"/>
                <w:u w:val="none"/>
              </w:rPr>
            </w:pP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213.16</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195.07</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18.09</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文化旅游体育与传媒支出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162.29</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18.09</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20708</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广播电视</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162.29</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144.21</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18.09</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2070804</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广播</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2070805</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电视</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154.29</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144.21</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10.09</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社会保障和就业支出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18.78</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行政事业单位养老支出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15.02</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14.91</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2080506</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机关事业单位职业年金缴费支出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0.11</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3.77</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20.54</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2101103</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公务员医疗补助</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住房保障支出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22102</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住房改革支出</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11.54</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1104" w:type="dxa"/>
            <w:gridSpan w:val="3"/>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2210201</w:t>
            </w:r>
          </w:p>
        </w:tc>
        <w:tc>
          <w:tcPr>
            <w:tcW w:w="392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住房公积金</w:t>
            </w:r>
          </w:p>
        </w:tc>
        <w:tc>
          <w:tcPr>
            <w:tcW w:w="159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140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11.54</w:t>
            </w:r>
          </w:p>
        </w:tc>
        <w:tc>
          <w:tcPr>
            <w:tcW w:w="1638"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420" w:hRule="atLeast"/>
        </w:trPr>
        <w:tc>
          <w:tcPr>
            <w:tcW w:w="9670" w:type="dxa"/>
            <w:gridSpan w:val="7"/>
            <w:tcBorders>
              <w:top w:val="nil"/>
              <w:left w:val="nil"/>
              <w:bottom w:val="nil"/>
              <w:right w:val="nil"/>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注：本表反映部门本年度一般公共预算财政拨款支出情况。</w:t>
            </w:r>
          </w:p>
        </w:tc>
      </w:tr>
    </w:tbl>
    <w:p/>
    <w:p/>
    <w:p/>
    <w:p>
      <w:pPr>
        <w:keepNext w:val="0"/>
        <w:keepLines w:val="0"/>
        <w:pageBreakBefore w:val="0"/>
        <w:kinsoku/>
        <w:wordWrap/>
        <w:overflowPunct/>
        <w:topLinePunct w:val="0"/>
        <w:autoSpaceDE/>
        <w:autoSpaceDN/>
        <w:bidi w:val="0"/>
        <w:adjustRightInd/>
        <w:snapToGrid/>
        <w:spacing w:line="220" w:lineRule="exact"/>
      </w:pPr>
    </w:p>
    <w:tbl>
      <w:tblPr>
        <w:tblStyle w:val="4"/>
        <w:tblpPr w:leftFromText="180" w:rightFromText="180" w:vertAnchor="text" w:horzAnchor="page" w:tblpX="1158" w:tblpY="154"/>
        <w:tblOverlap w:val="never"/>
        <w:tblW w:w="9907" w:type="dxa"/>
        <w:tblInd w:w="0" w:type="dxa"/>
        <w:shd w:val="clear" w:color="auto" w:fill="auto"/>
        <w:tblLayout w:type="fixed"/>
        <w:tblCellMar>
          <w:top w:w="0" w:type="dxa"/>
          <w:left w:w="0" w:type="dxa"/>
          <w:bottom w:w="0" w:type="dxa"/>
          <w:right w:w="0" w:type="dxa"/>
        </w:tblCellMar>
      </w:tblPr>
      <w:tblGrid>
        <w:gridCol w:w="768"/>
        <w:gridCol w:w="1954"/>
        <w:gridCol w:w="731"/>
        <w:gridCol w:w="532"/>
        <w:gridCol w:w="1718"/>
        <w:gridCol w:w="532"/>
        <w:gridCol w:w="829"/>
        <w:gridCol w:w="2073"/>
        <w:gridCol w:w="770"/>
      </w:tblGrid>
      <w:tr>
        <w:tblPrEx>
          <w:shd w:val="clear" w:color="auto" w:fill="auto"/>
          <w:tblCellMar>
            <w:top w:w="0" w:type="dxa"/>
            <w:left w:w="0" w:type="dxa"/>
            <w:bottom w:w="0" w:type="dxa"/>
            <w:right w:w="0" w:type="dxa"/>
          </w:tblCellMar>
        </w:tblPrEx>
        <w:trPr>
          <w:trHeight w:val="420" w:hRule="atLeast"/>
        </w:trPr>
        <w:tc>
          <w:tcPr>
            <w:tcW w:w="9907"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32"/>
                <w:szCs w:val="32"/>
                <w:u w:val="none"/>
              </w:rPr>
            </w:pPr>
            <w:r>
              <w:rPr>
                <w:rFonts w:hint="eastAsia" w:ascii="黑体" w:hAnsi="宋体" w:eastAsia="黑体" w:cs="黑体"/>
                <w:i w:val="0"/>
                <w:color w:val="000000"/>
                <w:kern w:val="0"/>
                <w:sz w:val="36"/>
                <w:szCs w:val="36"/>
                <w:u w:val="none"/>
                <w:lang w:val="en-US" w:eastAsia="zh-CN" w:bidi="ar"/>
              </w:rPr>
              <w:t>一般公共预算财政拨款基本支出决算表</w:t>
            </w:r>
          </w:p>
        </w:tc>
      </w:tr>
      <w:tr>
        <w:tblPrEx>
          <w:shd w:val="clear" w:color="auto" w:fill="auto"/>
          <w:tblCellMar>
            <w:top w:w="0" w:type="dxa"/>
            <w:left w:w="0" w:type="dxa"/>
            <w:bottom w:w="0" w:type="dxa"/>
            <w:right w:w="0" w:type="dxa"/>
          </w:tblCellMar>
        </w:tblPrEx>
        <w:trPr>
          <w:trHeight w:val="280" w:hRule="atLeast"/>
        </w:trPr>
        <w:tc>
          <w:tcPr>
            <w:tcW w:w="768"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8"/>
                <w:szCs w:val="18"/>
                <w:u w:val="none"/>
              </w:rPr>
            </w:pPr>
          </w:p>
        </w:tc>
        <w:tc>
          <w:tcPr>
            <w:tcW w:w="195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31"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3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718"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3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29"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843"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公开06表</w:t>
            </w:r>
          </w:p>
        </w:tc>
      </w:tr>
      <w:tr>
        <w:tblPrEx>
          <w:shd w:val="clear" w:color="auto" w:fill="auto"/>
          <w:tblCellMar>
            <w:top w:w="0" w:type="dxa"/>
            <w:left w:w="0" w:type="dxa"/>
            <w:bottom w:w="0" w:type="dxa"/>
            <w:right w:w="0" w:type="dxa"/>
          </w:tblCellMar>
        </w:tblPrEx>
        <w:trPr>
          <w:trHeight w:val="280" w:hRule="atLeast"/>
        </w:trPr>
        <w:tc>
          <w:tcPr>
            <w:tcW w:w="2722" w:type="dxa"/>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编制单位：赣州851台</w:t>
            </w:r>
          </w:p>
        </w:tc>
        <w:tc>
          <w:tcPr>
            <w:tcW w:w="731"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3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718"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2020年度</w:t>
            </w:r>
          </w:p>
        </w:tc>
        <w:tc>
          <w:tcPr>
            <w:tcW w:w="53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29"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843" w:type="dxa"/>
            <w:gridSpan w:val="2"/>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金额单位：万元</w:t>
            </w:r>
          </w:p>
        </w:tc>
      </w:tr>
      <w:tr>
        <w:tblPrEx>
          <w:shd w:val="clear" w:color="auto" w:fill="auto"/>
          <w:tblCellMar>
            <w:top w:w="0" w:type="dxa"/>
            <w:left w:w="0" w:type="dxa"/>
            <w:bottom w:w="0" w:type="dxa"/>
            <w:right w:w="0" w:type="dxa"/>
          </w:tblCellMar>
        </w:tblPrEx>
        <w:trPr>
          <w:trHeight w:val="300" w:hRule="atLeast"/>
        </w:trPr>
        <w:tc>
          <w:tcPr>
            <w:tcW w:w="3453"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人员经费</w:t>
            </w:r>
          </w:p>
        </w:tc>
        <w:tc>
          <w:tcPr>
            <w:tcW w:w="6454"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w:t>
            </w:r>
          </w:p>
        </w:tc>
      </w:tr>
      <w:tr>
        <w:tblPrEx>
          <w:shd w:val="clear" w:color="auto" w:fill="auto"/>
          <w:tblCellMar>
            <w:top w:w="0" w:type="dxa"/>
            <w:left w:w="0" w:type="dxa"/>
            <w:bottom w:w="0" w:type="dxa"/>
            <w:right w:w="0" w:type="dxa"/>
          </w:tblCellMar>
        </w:tblPrEx>
        <w:trPr>
          <w:trHeight w:val="615" w:hRule="atLeast"/>
        </w:trPr>
        <w:tc>
          <w:tcPr>
            <w:tcW w:w="76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19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c>
          <w:tcPr>
            <w:tcW w:w="5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c>
          <w:tcPr>
            <w:tcW w:w="8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207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301</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工资福利支出</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181.93</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302</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商品和服务支出</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307</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债务利息及费用支出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30101</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基本工资</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57.69</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30201</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办公费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30701</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国内债务付息</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30102</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津贴补贴</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4.75</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30202</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印刷费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30702</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国外债务付息</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30103</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奖金</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8.54</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30203</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咨询费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30703</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国内债务发行费用</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30106</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伙食补助费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12.62</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手续费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30704</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国外债务发行费用</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30107</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绩效工资</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35.70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30205</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水费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310</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资本性支出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14.91</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30206</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电费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31001</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房屋建筑物购建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30109</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职业年金缴费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30207</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邮电费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31002</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办公设备购置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30110</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职工基本医疗保险缴费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17.25</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30208</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取暖费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0.77</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31003</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专用设备购置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30111</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公务员医疗补助缴款</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3.29</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30209</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物业管理费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31005</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基础设施建设</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其他社会保障缴费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1.61</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30211</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差旅费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0.03</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31006</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大型修缮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30113</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住房公积金</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11.54</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30212</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因公出国（境）费用</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31007</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信息网络及软件购置更新</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30114</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医疗费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30213</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维修（护）费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31008</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物资储备</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其他工资福利支出</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13.92</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30214</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租赁费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土地补偿</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303</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对个人和家庭的补助</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5.37</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30215</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会议费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31010</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安置补助</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30301</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离休费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30216</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培训费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310111</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地上附着物和青苗补偿</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30302</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退休费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30217</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公务接待费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31012</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拆迁补偿</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30303</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退职（役）费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30218</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专用材料费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31013</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公务用车购置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30304</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抚恤金</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3.77</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30224</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被装购置费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其他交通工具购置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30305</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生活补贴</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30225</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专用燃料费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31021</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文物和陈列品购置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30306</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救济费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30226</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劳务费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31022</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无形资产购置</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30307</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医疗费补助</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30227</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委托业务费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31099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其他资本性支出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30308</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助学金</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30228</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工会经费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0.98</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312</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对企业补助</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30309</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奖励金</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0.84</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30229</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福利费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3.79</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31201</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资本金注入</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30310</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个人农业生产补贴</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30231</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公务用车运行维护费</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31203</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政府投资基金股权投资</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30311</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代缴社会保险费</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30239</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其他交通费用</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0.01</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31204</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费用补贴</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30399</w:t>
            </w: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其他对个人和家庭的补助支出</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0.76</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30240</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税金及附加费用</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31205</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利息补贴</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30299</w:t>
            </w:r>
          </w:p>
        </w:tc>
        <w:tc>
          <w:tcPr>
            <w:tcW w:w="17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其他商品和服务支出</w:t>
            </w: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0.40</w:t>
            </w: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31299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其他对企业补助</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399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39906</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赠与</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39907</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国家赔偿费用支出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39908</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180" w:lineRule="exact"/>
              <w:ind w:firstLine="180" w:firstLineChars="10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对民间非营利组织和群众性自治组织补贴</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76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9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1718"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180" w:lineRule="exact"/>
              <w:jc w:val="left"/>
              <w:rPr>
                <w:rFonts w:hint="eastAsia" w:ascii="宋体" w:hAnsi="宋体" w:eastAsia="宋体" w:cs="宋体"/>
                <w:i w:val="0"/>
                <w:color w:val="000000"/>
                <w:sz w:val="18"/>
                <w:szCs w:val="18"/>
                <w:u w:val="none"/>
              </w:rPr>
            </w:pPr>
          </w:p>
        </w:tc>
        <w:tc>
          <w:tcPr>
            <w:tcW w:w="5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180" w:lineRule="exact"/>
              <w:jc w:val="right"/>
              <w:rPr>
                <w:rFonts w:hint="eastAsia" w:ascii="宋体" w:hAnsi="宋体" w:eastAsia="宋体" w:cs="宋体"/>
                <w:i w:val="0"/>
                <w:color w:val="000000"/>
                <w:sz w:val="18"/>
                <w:szCs w:val="18"/>
                <w:u w:val="none"/>
              </w:rPr>
            </w:pPr>
          </w:p>
        </w:tc>
        <w:tc>
          <w:tcPr>
            <w:tcW w:w="82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39999</w:t>
            </w:r>
          </w:p>
        </w:tc>
        <w:tc>
          <w:tcPr>
            <w:tcW w:w="2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其他支出</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shd w:val="clear" w:color="auto" w:fill="auto"/>
          <w:tblCellMar>
            <w:top w:w="0" w:type="dxa"/>
            <w:left w:w="0" w:type="dxa"/>
            <w:bottom w:w="0" w:type="dxa"/>
            <w:right w:w="0" w:type="dxa"/>
          </w:tblCellMar>
        </w:tblPrEx>
        <w:trPr>
          <w:trHeight w:val="283" w:hRule="atLeast"/>
        </w:trPr>
        <w:tc>
          <w:tcPr>
            <w:tcW w:w="2722"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人员经费合计</w:t>
            </w:r>
          </w:p>
        </w:tc>
        <w:tc>
          <w:tcPr>
            <w:tcW w:w="7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187.30</w:t>
            </w:r>
          </w:p>
        </w:tc>
        <w:tc>
          <w:tcPr>
            <w:tcW w:w="5684"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公用支出合计</w:t>
            </w:r>
          </w:p>
        </w:tc>
        <w:tc>
          <w:tcPr>
            <w:tcW w:w="77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7.77</w:t>
            </w:r>
          </w:p>
        </w:tc>
      </w:tr>
      <w:tr>
        <w:tblPrEx>
          <w:shd w:val="clear" w:color="auto" w:fill="auto"/>
          <w:tblCellMar>
            <w:top w:w="0" w:type="dxa"/>
            <w:left w:w="0" w:type="dxa"/>
            <w:bottom w:w="0" w:type="dxa"/>
            <w:right w:w="0" w:type="dxa"/>
          </w:tblCellMar>
        </w:tblPrEx>
        <w:trPr>
          <w:trHeight w:val="283" w:hRule="atLeast"/>
        </w:trPr>
        <w:tc>
          <w:tcPr>
            <w:tcW w:w="9907"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注：本表反映部门本年度一般公共预算财政拨款基本支出明细情况。</w:t>
            </w:r>
          </w:p>
        </w:tc>
      </w:tr>
    </w:tbl>
    <w:p>
      <w:pPr>
        <w:keepNext w:val="0"/>
        <w:keepLines w:val="0"/>
        <w:pageBreakBefore w:val="0"/>
        <w:kinsoku/>
        <w:wordWrap/>
        <w:overflowPunct/>
        <w:topLinePunct w:val="0"/>
        <w:autoSpaceDE/>
        <w:autoSpaceDN/>
        <w:bidi w:val="0"/>
        <w:adjustRightInd/>
        <w:snapToGrid/>
        <w:spacing w:line="220" w:lineRule="exact"/>
      </w:pPr>
    </w:p>
    <w:tbl>
      <w:tblPr>
        <w:tblStyle w:val="4"/>
        <w:tblpPr w:leftFromText="180" w:rightFromText="180" w:vertAnchor="text" w:horzAnchor="page" w:tblpX="760" w:tblpY="84"/>
        <w:tblOverlap w:val="never"/>
        <w:tblW w:w="10213" w:type="dxa"/>
        <w:tblInd w:w="0" w:type="dxa"/>
        <w:shd w:val="clear" w:color="auto" w:fill="auto"/>
        <w:tblLayout w:type="fixed"/>
        <w:tblCellMar>
          <w:top w:w="0" w:type="dxa"/>
          <w:left w:w="0" w:type="dxa"/>
          <w:bottom w:w="0" w:type="dxa"/>
          <w:right w:w="0" w:type="dxa"/>
        </w:tblCellMar>
      </w:tblPr>
      <w:tblGrid>
        <w:gridCol w:w="4855"/>
        <w:gridCol w:w="1450"/>
        <w:gridCol w:w="1548"/>
        <w:gridCol w:w="2360"/>
      </w:tblGrid>
      <w:tr>
        <w:tblPrEx>
          <w:shd w:val="clear" w:color="auto" w:fill="auto"/>
          <w:tblCellMar>
            <w:top w:w="0" w:type="dxa"/>
            <w:left w:w="0" w:type="dxa"/>
            <w:bottom w:w="0" w:type="dxa"/>
            <w:right w:w="0" w:type="dxa"/>
          </w:tblCellMar>
        </w:tblPrEx>
        <w:trPr>
          <w:trHeight w:val="555" w:hRule="atLeast"/>
        </w:trPr>
        <w:tc>
          <w:tcPr>
            <w:tcW w:w="10213"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“三公”经费支出决算表</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1450"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48"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360"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公开07表</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编制单位：赣州851台</w:t>
            </w:r>
          </w:p>
        </w:tc>
        <w:tc>
          <w:tcPr>
            <w:tcW w:w="1450"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1548"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360"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33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一、“三公”经费支出</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0.76</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0.10</w:t>
            </w:r>
          </w:p>
        </w:tc>
      </w:tr>
      <w:tr>
        <w:tblPrEx>
          <w:shd w:val="clear" w:color="auto" w:fill="auto"/>
          <w:tblCellMar>
            <w:top w:w="0" w:type="dxa"/>
            <w:left w:w="0" w:type="dxa"/>
            <w:bottom w:w="0" w:type="dxa"/>
            <w:right w:w="0" w:type="dxa"/>
          </w:tblCellMar>
        </w:tblPrEx>
        <w:trPr>
          <w:trHeight w:val="285"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1.因公出国（境）费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2.公务用车购置及运行维护费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（1）公务用车购置费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（2）公务用车运行维护费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3.公务接待费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0.76</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（1）国内接待费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0.76</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0.10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其中：外事接待费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（2）国（境）外接待费</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二、相关统计数</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1.因公出国（境）团组数（个）</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2.因公出国（境）人次数（人）</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3.公务用车购置数（辆）</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4.公务用车保有量（辆）</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5.国内公务接待批次（个）</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其中：外事接待批次（个）</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6.国内公务接待人次（人）</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其中：外事接待人次（人）</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7.国（境）外公务接待批次（个）</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485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8.国（境）外公务接待人次（人）</w:t>
            </w:r>
          </w:p>
        </w:tc>
        <w:tc>
          <w:tcPr>
            <w:tcW w:w="1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3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10213" w:type="dxa"/>
            <w:gridSpan w:val="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注：本表反映部门本年度“三公”经费支出预决算情况。</w:t>
            </w:r>
          </w:p>
        </w:tc>
      </w:tr>
    </w:tbl>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22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tbl>
      <w:tblPr>
        <w:tblStyle w:val="4"/>
        <w:tblpPr w:leftFromText="180" w:rightFromText="180" w:vertAnchor="text" w:horzAnchor="page" w:tblpX="1017" w:tblpY="77"/>
        <w:tblOverlap w:val="never"/>
        <w:tblW w:w="9916" w:type="dxa"/>
        <w:tblInd w:w="0" w:type="dxa"/>
        <w:shd w:val="clear" w:color="auto" w:fill="auto"/>
        <w:tblLayout w:type="fixed"/>
        <w:tblCellMar>
          <w:top w:w="0" w:type="dxa"/>
          <w:left w:w="0" w:type="dxa"/>
          <w:bottom w:w="0" w:type="dxa"/>
          <w:right w:w="0" w:type="dxa"/>
        </w:tblCellMar>
      </w:tblPr>
      <w:tblGrid>
        <w:gridCol w:w="1814"/>
        <w:gridCol w:w="652"/>
        <w:gridCol w:w="582"/>
        <w:gridCol w:w="874"/>
        <w:gridCol w:w="1202"/>
        <w:gridCol w:w="874"/>
        <w:gridCol w:w="612"/>
        <w:gridCol w:w="889"/>
        <w:gridCol w:w="908"/>
        <w:gridCol w:w="1509"/>
      </w:tblGrid>
      <w:tr>
        <w:tblPrEx>
          <w:shd w:val="clear" w:color="auto" w:fill="auto"/>
          <w:tblCellMar>
            <w:top w:w="0" w:type="dxa"/>
            <w:left w:w="0" w:type="dxa"/>
            <w:bottom w:w="0" w:type="dxa"/>
            <w:right w:w="0" w:type="dxa"/>
          </w:tblCellMar>
        </w:tblPrEx>
        <w:trPr>
          <w:trHeight w:val="555" w:hRule="atLeast"/>
        </w:trPr>
        <w:tc>
          <w:tcPr>
            <w:tcW w:w="9916"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ind w:firstLine="360" w:firstLineChars="100"/>
              <w:jc w:val="center"/>
              <w:textAlignment w:val="center"/>
              <w:rPr>
                <w:rFonts w:hint="eastAsia" w:ascii="黑体" w:hAnsi="宋体" w:eastAsia="黑体" w:cs="黑体"/>
                <w:i w:val="0"/>
                <w:color w:val="000000"/>
                <w:kern w:val="0"/>
                <w:sz w:val="36"/>
                <w:szCs w:val="36"/>
                <w:u w:val="none"/>
                <w:lang w:val="en-US" w:eastAsia="zh-CN" w:bidi="ar"/>
              </w:rPr>
            </w:pPr>
          </w:p>
          <w:p>
            <w:pPr>
              <w:keepNext w:val="0"/>
              <w:keepLines w:val="0"/>
              <w:widowControl/>
              <w:suppressLineNumbers w:val="0"/>
              <w:ind w:firstLine="360" w:firstLineChars="10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政府性基金预算财政拨款收入支出决算表</w:t>
            </w: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65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8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20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1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9"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908"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9"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公开08表</w:t>
            </w:r>
          </w:p>
        </w:tc>
      </w:tr>
      <w:tr>
        <w:tblPrEx>
          <w:shd w:val="clear" w:color="auto" w:fill="auto"/>
          <w:tblCellMar>
            <w:top w:w="0" w:type="dxa"/>
            <w:left w:w="0" w:type="dxa"/>
            <w:bottom w:w="0" w:type="dxa"/>
            <w:right w:w="0" w:type="dxa"/>
          </w:tblCellMar>
        </w:tblPrEx>
        <w:trPr>
          <w:trHeight w:val="300" w:hRule="atLeast"/>
        </w:trPr>
        <w:tc>
          <w:tcPr>
            <w:tcW w:w="2466" w:type="dxa"/>
            <w:gridSpan w:val="2"/>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2"/>
                <w:szCs w:val="22"/>
                <w:u w:val="none"/>
                <w:lang w:val="en-US" w:eastAsia="zh-CN" w:bidi="ar"/>
              </w:rPr>
              <w:t>编制单位：赣州851台</w:t>
            </w:r>
          </w:p>
        </w:tc>
        <w:tc>
          <w:tcPr>
            <w:tcW w:w="58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4"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202"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874"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1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9"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908"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9"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270" w:hRule="atLeast"/>
        </w:trPr>
        <w:tc>
          <w:tcPr>
            <w:tcW w:w="392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120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874"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w:t>
            </w:r>
          </w:p>
        </w:tc>
        <w:tc>
          <w:tcPr>
            <w:tcW w:w="2409"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c>
          <w:tcPr>
            <w:tcW w:w="150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年末结转和结余</w:t>
            </w:r>
          </w:p>
        </w:tc>
      </w:tr>
      <w:tr>
        <w:tblPrEx>
          <w:shd w:val="clear" w:color="auto" w:fill="auto"/>
          <w:tblCellMar>
            <w:top w:w="0" w:type="dxa"/>
            <w:left w:w="0" w:type="dxa"/>
            <w:bottom w:w="0" w:type="dxa"/>
            <w:right w:w="0" w:type="dxa"/>
          </w:tblCellMar>
        </w:tblPrEx>
        <w:trPr>
          <w:trHeight w:val="300" w:hRule="atLeast"/>
        </w:trPr>
        <w:tc>
          <w:tcPr>
            <w:tcW w:w="3048"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874"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20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889"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908"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5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04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9"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04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9"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30" w:hRule="atLeast"/>
        </w:trPr>
        <w:tc>
          <w:tcPr>
            <w:tcW w:w="1814"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65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58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shd w:val="clear" w:color="auto" w:fill="auto"/>
          <w:tblCellMar>
            <w:top w:w="0" w:type="dxa"/>
            <w:left w:w="0" w:type="dxa"/>
            <w:bottom w:w="0" w:type="dxa"/>
            <w:right w:w="0" w:type="dxa"/>
          </w:tblCellMar>
        </w:tblPrEx>
        <w:trPr>
          <w:trHeight w:val="300" w:hRule="atLeast"/>
        </w:trPr>
        <w:tc>
          <w:tcPr>
            <w:tcW w:w="1814"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181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04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0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61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88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90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05" w:hRule="atLeast"/>
        </w:trPr>
        <w:tc>
          <w:tcPr>
            <w:tcW w:w="9916"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注：本表反映部门本年度政府性基金预算财政拨款收入、支出及结转和结余情况。</w:t>
            </w:r>
          </w:p>
        </w:tc>
      </w:tr>
      <w:tr>
        <w:tblPrEx>
          <w:shd w:val="clear" w:color="auto" w:fill="auto"/>
          <w:tblCellMar>
            <w:top w:w="0" w:type="dxa"/>
            <w:left w:w="0" w:type="dxa"/>
            <w:bottom w:w="0" w:type="dxa"/>
            <w:right w:w="0" w:type="dxa"/>
          </w:tblCellMar>
        </w:tblPrEx>
        <w:trPr>
          <w:trHeight w:val="300" w:hRule="atLeast"/>
        </w:trPr>
        <w:tc>
          <w:tcPr>
            <w:tcW w:w="9916"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说明：此表为空表。</w:t>
            </w:r>
          </w:p>
        </w:tc>
      </w:tr>
    </w:tbl>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tbl>
      <w:tblPr>
        <w:tblStyle w:val="4"/>
        <w:tblpPr w:leftFromText="180" w:rightFromText="180" w:vertAnchor="text" w:horzAnchor="page" w:tblpX="900" w:tblpY="53"/>
        <w:tblOverlap w:val="never"/>
        <w:tblW w:w="10227" w:type="dxa"/>
        <w:tblInd w:w="0" w:type="dxa"/>
        <w:shd w:val="clear" w:color="auto" w:fill="auto"/>
        <w:tblLayout w:type="fixed"/>
        <w:tblCellMar>
          <w:top w:w="0" w:type="dxa"/>
          <w:left w:w="0" w:type="dxa"/>
          <w:bottom w:w="0" w:type="dxa"/>
          <w:right w:w="0" w:type="dxa"/>
        </w:tblCellMar>
      </w:tblPr>
      <w:tblGrid>
        <w:gridCol w:w="3312"/>
        <w:gridCol w:w="342"/>
        <w:gridCol w:w="342"/>
        <w:gridCol w:w="1233"/>
        <w:gridCol w:w="1433"/>
        <w:gridCol w:w="1233"/>
        <w:gridCol w:w="2332"/>
      </w:tblGrid>
      <w:tr>
        <w:tblPrEx>
          <w:shd w:val="clear" w:color="auto" w:fill="auto"/>
          <w:tblCellMar>
            <w:top w:w="0" w:type="dxa"/>
            <w:left w:w="0" w:type="dxa"/>
            <w:bottom w:w="0" w:type="dxa"/>
            <w:right w:w="0" w:type="dxa"/>
          </w:tblCellMar>
        </w:tblPrEx>
        <w:trPr>
          <w:trHeight w:val="555" w:hRule="atLeast"/>
        </w:trPr>
        <w:tc>
          <w:tcPr>
            <w:tcW w:w="10227"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36"/>
                <w:szCs w:val="36"/>
                <w:u w:val="none"/>
                <w:lang w:val="en-US" w:eastAsia="zh-CN" w:bidi="ar"/>
              </w:rPr>
            </w:pPr>
          </w:p>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国有资本经营预算财政拨款支出决算表</w:t>
            </w: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34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233"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33"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233"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332"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公开09表</w:t>
            </w: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编制单位：赣州851台</w:t>
            </w:r>
          </w:p>
        </w:tc>
        <w:tc>
          <w:tcPr>
            <w:tcW w:w="34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233" w:type="dxa"/>
            <w:tcBorders>
              <w:top w:val="nil"/>
              <w:left w:val="nil"/>
              <w:bottom w:val="single" w:color="80808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3"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1233" w:type="dxa"/>
            <w:tcBorders>
              <w:top w:val="nil"/>
              <w:left w:val="nil"/>
              <w:bottom w:val="single" w:color="80808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332"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shd w:val="clear" w:color="auto" w:fill="auto"/>
          <w:tblCellMar>
            <w:top w:w="0" w:type="dxa"/>
            <w:left w:w="0" w:type="dxa"/>
            <w:bottom w:w="0" w:type="dxa"/>
            <w:right w:w="0" w:type="dxa"/>
          </w:tblCellMar>
        </w:tblPrEx>
        <w:trPr>
          <w:trHeight w:val="270" w:hRule="atLeast"/>
        </w:trPr>
        <w:tc>
          <w:tcPr>
            <w:tcW w:w="3996"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433"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233"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233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r>
      <w:tr>
        <w:tblPrEx>
          <w:shd w:val="clear" w:color="auto" w:fill="auto"/>
          <w:tblCellMar>
            <w:top w:w="0" w:type="dxa"/>
            <w:left w:w="0" w:type="dxa"/>
            <w:bottom w:w="0" w:type="dxa"/>
            <w:right w:w="0" w:type="dxa"/>
          </w:tblCellMar>
        </w:tblPrEx>
        <w:trPr>
          <w:trHeight w:val="300" w:hRule="atLeast"/>
        </w:trPr>
        <w:tc>
          <w:tcPr>
            <w:tcW w:w="3996"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1233"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4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996"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996"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3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34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34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3312"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31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0" w:hRule="atLeast"/>
        </w:trPr>
        <w:tc>
          <w:tcPr>
            <w:tcW w:w="3996"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23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23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60" w:hRule="atLeast"/>
        </w:trPr>
        <w:tc>
          <w:tcPr>
            <w:tcW w:w="10227"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注：本表反映部门本年度国有资本经营预算财政拨款支出情况。</w:t>
            </w:r>
          </w:p>
        </w:tc>
      </w:tr>
      <w:tr>
        <w:tblPrEx>
          <w:shd w:val="clear" w:color="auto" w:fill="auto"/>
          <w:tblCellMar>
            <w:top w:w="0" w:type="dxa"/>
            <w:left w:w="0" w:type="dxa"/>
            <w:bottom w:w="0" w:type="dxa"/>
            <w:right w:w="0" w:type="dxa"/>
          </w:tblCellMar>
        </w:tblPrEx>
        <w:trPr>
          <w:trHeight w:val="300" w:hRule="atLeast"/>
        </w:trPr>
        <w:tc>
          <w:tcPr>
            <w:tcW w:w="10227"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说明：此表为空表。</w:t>
            </w:r>
          </w:p>
        </w:tc>
      </w:tr>
    </w:tbl>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keepNext w:val="0"/>
        <w:keepLines w:val="0"/>
        <w:pageBreakBefore w:val="0"/>
        <w:kinsoku/>
        <w:wordWrap/>
        <w:overflowPunct/>
        <w:topLinePunct w:val="0"/>
        <w:autoSpaceDE/>
        <w:autoSpaceDN/>
        <w:bidi w:val="0"/>
        <w:adjustRightInd/>
        <w:snapToGrid/>
        <w:spacing w:line="180" w:lineRule="exact"/>
      </w:pPr>
    </w:p>
    <w:p>
      <w:pPr>
        <w:bidi w:val="0"/>
        <w:rPr>
          <w:rFonts w:ascii="Calibri" w:hAnsi="Calibri" w:eastAsia="宋体" w:cs="Times New Roman"/>
          <w:kern w:val="2"/>
          <w:sz w:val="21"/>
          <w:szCs w:val="22"/>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tbl>
      <w:tblPr>
        <w:tblStyle w:val="4"/>
        <w:tblpPr w:leftFromText="180" w:rightFromText="180" w:vertAnchor="text" w:horzAnchor="page" w:tblpX="1560" w:tblpY="2"/>
        <w:tblOverlap w:val="never"/>
        <w:tblW w:w="8758" w:type="dxa"/>
        <w:tblInd w:w="0" w:type="dxa"/>
        <w:shd w:val="clear" w:color="auto" w:fill="auto"/>
        <w:tblLayout w:type="fixed"/>
        <w:tblCellMar>
          <w:top w:w="0" w:type="dxa"/>
          <w:left w:w="0" w:type="dxa"/>
          <w:bottom w:w="0" w:type="dxa"/>
          <w:right w:w="0" w:type="dxa"/>
        </w:tblCellMar>
      </w:tblPr>
      <w:tblGrid>
        <w:gridCol w:w="5604"/>
        <w:gridCol w:w="1460"/>
        <w:gridCol w:w="1694"/>
      </w:tblGrid>
      <w:tr>
        <w:tblPrEx>
          <w:tblCellMar>
            <w:top w:w="0" w:type="dxa"/>
            <w:left w:w="0" w:type="dxa"/>
            <w:bottom w:w="0" w:type="dxa"/>
            <w:right w:w="0" w:type="dxa"/>
          </w:tblCellMar>
        </w:tblPrEx>
        <w:trPr>
          <w:trHeight w:val="555" w:hRule="atLeast"/>
        </w:trPr>
        <w:tc>
          <w:tcPr>
            <w:tcW w:w="8758"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color w:val="000000"/>
                <w:kern w:val="0"/>
                <w:sz w:val="36"/>
                <w:szCs w:val="36"/>
                <w:u w:val="none"/>
                <w:lang w:val="en-US" w:eastAsia="zh-CN" w:bidi="ar"/>
              </w:rPr>
              <w:t>国有资产占用情况表</w:t>
            </w:r>
          </w:p>
        </w:tc>
      </w:tr>
      <w:tr>
        <w:tblPrEx>
          <w:tblCellMar>
            <w:top w:w="0" w:type="dxa"/>
            <w:left w:w="0" w:type="dxa"/>
            <w:bottom w:w="0" w:type="dxa"/>
            <w:right w:w="0" w:type="dxa"/>
          </w:tblCellMar>
        </w:tblPrEx>
        <w:trPr>
          <w:trHeight w:val="300" w:hRule="atLeast"/>
        </w:trPr>
        <w:tc>
          <w:tcPr>
            <w:tcW w:w="5604"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Tahoma" w:hAnsi="Tahoma" w:eastAsia="Tahoma" w:cs="Tahoma"/>
                <w:i w:val="0"/>
                <w:color w:val="000000"/>
                <w:sz w:val="16"/>
                <w:szCs w:val="16"/>
                <w:u w:val="none"/>
              </w:rPr>
            </w:pPr>
          </w:p>
        </w:tc>
        <w:tc>
          <w:tcPr>
            <w:tcW w:w="1460"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94"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单位：台、量、套</w:t>
            </w:r>
          </w:p>
        </w:tc>
      </w:tr>
      <w:tr>
        <w:tblPrEx>
          <w:tblCellMar>
            <w:top w:w="0" w:type="dxa"/>
            <w:left w:w="0" w:type="dxa"/>
            <w:bottom w:w="0" w:type="dxa"/>
            <w:right w:w="0" w:type="dxa"/>
          </w:tblCellMar>
        </w:tblPrEx>
        <w:trPr>
          <w:trHeight w:val="300" w:hRule="atLeast"/>
        </w:trPr>
        <w:tc>
          <w:tcPr>
            <w:tcW w:w="5604"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编制单位：赣州851台</w:t>
            </w:r>
          </w:p>
        </w:tc>
        <w:tc>
          <w:tcPr>
            <w:tcW w:w="1460"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2020年度</w:t>
            </w:r>
          </w:p>
        </w:tc>
        <w:tc>
          <w:tcPr>
            <w:tcW w:w="1694" w:type="dxa"/>
            <w:tcBorders>
              <w:top w:val="nil"/>
              <w:left w:val="nil"/>
              <w:bottom w:val="single" w:color="80808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公开10表</w:t>
            </w:r>
          </w:p>
        </w:tc>
      </w:tr>
      <w:tr>
        <w:tblPrEx>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一、车辆数合计(台、辆)</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1.副部（省）级及以上领导用车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2.主要领导干部用车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3.机要通信用车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4.应急保障用车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5.执法执勤用车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6.特种专业技术用车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7.离退休干部用车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8.其他用车</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二、单价50万元（含）以上通用设备（台，套）</w:t>
            </w:r>
          </w:p>
        </w:tc>
        <w:tc>
          <w:tcPr>
            <w:tcW w:w="146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6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5604" w:type="dxa"/>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三、单价100万元（含）以上专用设备（台，套）</w:t>
            </w:r>
          </w:p>
        </w:tc>
        <w:tc>
          <w:tcPr>
            <w:tcW w:w="1460" w:type="dxa"/>
            <w:tcBorders>
              <w:top w:val="nil"/>
              <w:left w:val="nil"/>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694" w:type="dxa"/>
            <w:tcBorders>
              <w:top w:val="nil"/>
              <w:left w:val="nil"/>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400" w:hRule="atLeast"/>
        </w:trPr>
        <w:tc>
          <w:tcPr>
            <w:tcW w:w="875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注：本表反映截止2020年12月31日，部门占用的国有资产情况。</w:t>
            </w:r>
          </w:p>
        </w:tc>
      </w:tr>
      <w:tr>
        <w:tblPrEx>
          <w:shd w:val="clear" w:color="auto" w:fill="auto"/>
          <w:tblCellMar>
            <w:top w:w="0" w:type="dxa"/>
            <w:left w:w="0" w:type="dxa"/>
            <w:bottom w:w="0" w:type="dxa"/>
            <w:right w:w="0" w:type="dxa"/>
          </w:tblCellMar>
        </w:tblPrEx>
        <w:trPr>
          <w:trHeight w:val="400" w:hRule="atLeast"/>
        </w:trPr>
        <w:tc>
          <w:tcPr>
            <w:tcW w:w="875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说明：此表为空表。</w:t>
            </w:r>
          </w:p>
        </w:tc>
      </w:tr>
    </w:tbl>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bidi w:val="0"/>
        <w:ind w:firstLine="576" w:firstLineChars="0"/>
        <w:jc w:val="left"/>
        <w:rPr>
          <w:lang w:val="en-US" w:eastAsia="zh-CN"/>
        </w:rPr>
      </w:pPr>
    </w:p>
    <w:p>
      <w:pPr>
        <w:widowControl/>
        <w:numPr>
          <w:ilvl w:val="0"/>
          <w:numId w:val="0"/>
        </w:numPr>
        <w:spacing w:line="600" w:lineRule="exact"/>
        <w:jc w:val="center"/>
        <w:rPr>
          <w:rFonts w:hint="eastAsia" w:ascii="宋体" w:hAnsi="宋体"/>
          <w:b/>
          <w:sz w:val="32"/>
          <w:szCs w:val="32"/>
        </w:rPr>
      </w:pPr>
      <w:r>
        <w:rPr>
          <w:rFonts w:hint="eastAsia" w:ascii="宋体" w:hAnsi="宋体"/>
          <w:b/>
          <w:sz w:val="32"/>
          <w:szCs w:val="32"/>
          <w:lang w:eastAsia="zh-CN"/>
        </w:rPr>
        <w:t>第三部分</w:t>
      </w:r>
      <w:r>
        <w:rPr>
          <w:rFonts w:hint="eastAsia" w:ascii="宋体" w:hAnsi="宋体"/>
          <w:b/>
          <w:sz w:val="32"/>
          <w:szCs w:val="32"/>
          <w:lang w:val="en-US" w:eastAsia="zh-CN"/>
        </w:rPr>
        <w:t xml:space="preserve"> </w:t>
      </w:r>
      <w:r>
        <w:rPr>
          <w:rFonts w:hint="eastAsia" w:ascii="宋体" w:hAnsi="宋体"/>
          <w:b/>
          <w:sz w:val="32"/>
          <w:szCs w:val="32"/>
        </w:rPr>
        <w:t>2020年度部门决算情况说明</w:t>
      </w:r>
    </w:p>
    <w:p>
      <w:pPr>
        <w:widowControl/>
        <w:numPr>
          <w:ilvl w:val="0"/>
          <w:numId w:val="0"/>
        </w:numPr>
        <w:spacing w:line="600" w:lineRule="exact"/>
        <w:ind w:left="640" w:leftChars="0"/>
        <w:jc w:val="both"/>
        <w:rPr>
          <w:rFonts w:hint="eastAsia" w:ascii="宋体" w:hAnsi="宋体"/>
          <w:b/>
          <w:sz w:val="32"/>
          <w:szCs w:val="32"/>
        </w:rPr>
      </w:pPr>
    </w:p>
    <w:p>
      <w:pPr>
        <w:ind w:firstLine="900" w:firstLineChars="30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both"/>
        <w:rPr>
          <w:rFonts w:hint="eastAsia" w:ascii="仿宋" w:hAnsi="仿宋" w:eastAsia="仿宋"/>
          <w:sz w:val="30"/>
          <w:szCs w:val="30"/>
        </w:rPr>
      </w:pPr>
      <w:r>
        <w:rPr>
          <w:rFonts w:hint="eastAsia" w:ascii="仿宋" w:hAnsi="仿宋" w:eastAsia="仿宋"/>
          <w:sz w:val="30"/>
          <w:szCs w:val="30"/>
        </w:rPr>
        <w:t>本部门2020年度收入总计</w:t>
      </w:r>
      <w:r>
        <w:rPr>
          <w:rFonts w:hint="eastAsia" w:ascii="仿宋" w:hAnsi="仿宋" w:eastAsia="仿宋"/>
          <w:sz w:val="30"/>
          <w:szCs w:val="30"/>
          <w:lang w:val="en-US" w:eastAsia="zh-CN"/>
        </w:rPr>
        <w:t>213.16</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18.09</w:t>
      </w:r>
      <w:r>
        <w:rPr>
          <w:rFonts w:hint="eastAsia" w:ascii="仿宋" w:hAnsi="仿宋" w:eastAsia="仿宋"/>
          <w:sz w:val="30"/>
          <w:szCs w:val="30"/>
        </w:rPr>
        <w:t>万元，较2019年增加</w:t>
      </w:r>
      <w:r>
        <w:rPr>
          <w:rFonts w:hint="eastAsia" w:ascii="仿宋" w:hAnsi="仿宋" w:eastAsia="仿宋"/>
          <w:sz w:val="30"/>
          <w:szCs w:val="30"/>
          <w:lang w:val="en-US" w:eastAsia="zh-CN"/>
        </w:rPr>
        <w:t>17.32</w:t>
      </w:r>
      <w:r>
        <w:rPr>
          <w:rFonts w:hint="eastAsia" w:ascii="仿宋" w:hAnsi="仿宋" w:eastAsia="仿宋"/>
          <w:sz w:val="30"/>
          <w:szCs w:val="30"/>
        </w:rPr>
        <w:t>万元，增长</w:t>
      </w:r>
      <w:r>
        <w:rPr>
          <w:rFonts w:hint="eastAsia" w:ascii="仿宋" w:hAnsi="仿宋" w:eastAsia="仿宋"/>
          <w:sz w:val="30"/>
          <w:szCs w:val="30"/>
          <w:lang w:val="en-US" w:eastAsia="zh-CN"/>
        </w:rPr>
        <w:t>2249.35</w:t>
      </w:r>
      <w:r>
        <w:rPr>
          <w:rFonts w:hint="eastAsia" w:ascii="仿宋" w:hAnsi="仿宋" w:eastAsia="仿宋"/>
          <w:sz w:val="30"/>
          <w:szCs w:val="30"/>
        </w:rPr>
        <w:t>%；本年收入合计</w:t>
      </w:r>
      <w:r>
        <w:rPr>
          <w:rFonts w:hint="eastAsia" w:ascii="仿宋" w:hAnsi="仿宋" w:eastAsia="仿宋"/>
          <w:sz w:val="30"/>
          <w:szCs w:val="30"/>
          <w:lang w:val="en-US" w:eastAsia="zh-CN"/>
        </w:rPr>
        <w:t>195.07</w:t>
      </w:r>
      <w:r>
        <w:rPr>
          <w:rFonts w:hint="eastAsia" w:ascii="仿宋" w:hAnsi="仿宋" w:eastAsia="仿宋"/>
          <w:sz w:val="30"/>
          <w:szCs w:val="30"/>
        </w:rPr>
        <w:t>万元，较2019年减少</w:t>
      </w:r>
      <w:r>
        <w:rPr>
          <w:rFonts w:hint="eastAsia" w:ascii="仿宋" w:hAnsi="仿宋" w:eastAsia="仿宋"/>
          <w:sz w:val="30"/>
          <w:szCs w:val="30"/>
          <w:lang w:val="en-US" w:eastAsia="zh-CN"/>
        </w:rPr>
        <w:t>1425.68</w:t>
      </w:r>
      <w:r>
        <w:rPr>
          <w:rFonts w:hint="eastAsia" w:ascii="仿宋" w:hAnsi="仿宋" w:eastAsia="仿宋"/>
          <w:sz w:val="30"/>
          <w:szCs w:val="30"/>
        </w:rPr>
        <w:t>万元，下降</w:t>
      </w:r>
      <w:r>
        <w:rPr>
          <w:rFonts w:hint="eastAsia" w:ascii="仿宋" w:hAnsi="仿宋" w:eastAsia="仿宋"/>
          <w:sz w:val="30"/>
          <w:szCs w:val="30"/>
          <w:lang w:val="en-US" w:eastAsia="zh-CN"/>
        </w:rPr>
        <w:t>87.96</w:t>
      </w:r>
      <w:r>
        <w:rPr>
          <w:rFonts w:hint="eastAsia" w:ascii="仿宋" w:hAnsi="仿宋" w:eastAsia="仿宋"/>
          <w:sz w:val="30"/>
          <w:szCs w:val="30"/>
        </w:rPr>
        <w:t>%，主要原因是：</w:t>
      </w:r>
      <w:r>
        <w:rPr>
          <w:rFonts w:hint="eastAsia" w:ascii="仿宋" w:hAnsi="仿宋" w:eastAsia="仿宋"/>
          <w:sz w:val="30"/>
          <w:szCs w:val="30"/>
          <w:lang w:eastAsia="zh-CN"/>
        </w:rPr>
        <w:t>上年度财政下拨土地征地款</w:t>
      </w:r>
      <w:r>
        <w:rPr>
          <w:rFonts w:hint="eastAsia" w:ascii="仿宋" w:hAnsi="仿宋" w:eastAsia="仿宋"/>
          <w:sz w:val="30"/>
          <w:szCs w:val="30"/>
          <w:lang w:val="en-US" w:eastAsia="zh-CN"/>
        </w:rPr>
        <w:t>1440万元</w:t>
      </w:r>
      <w:r>
        <w:rPr>
          <w:rFonts w:hint="eastAsia" w:ascii="仿宋" w:hAnsi="仿宋" w:eastAsia="仿宋"/>
          <w:sz w:val="30"/>
          <w:szCs w:val="30"/>
        </w:rPr>
        <w:t>。</w:t>
      </w:r>
    </w:p>
    <w:p>
      <w:pPr>
        <w:ind w:firstLine="630"/>
        <w:jc w:val="both"/>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195.07</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%；事业收入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both"/>
        <w:rPr>
          <w:rFonts w:hint="eastAsia" w:ascii="仿宋" w:hAnsi="仿宋" w:eastAsia="仿宋"/>
          <w:sz w:val="30"/>
          <w:szCs w:val="30"/>
        </w:rPr>
      </w:pPr>
      <w:r>
        <w:rPr>
          <w:rFonts w:hint="eastAsia" w:ascii="仿宋" w:hAnsi="仿宋" w:eastAsia="仿宋"/>
          <w:sz w:val="30"/>
          <w:szCs w:val="30"/>
        </w:rPr>
        <w:t>本部门2020年度支出总计</w:t>
      </w:r>
      <w:r>
        <w:rPr>
          <w:rFonts w:hint="eastAsia" w:ascii="仿宋" w:hAnsi="仿宋" w:eastAsia="仿宋"/>
          <w:sz w:val="30"/>
          <w:szCs w:val="30"/>
          <w:lang w:val="en-US" w:eastAsia="zh-CN"/>
        </w:rPr>
        <w:t>213.16</w:t>
      </w:r>
      <w:r>
        <w:rPr>
          <w:rFonts w:hint="eastAsia" w:ascii="仿宋" w:hAnsi="仿宋" w:eastAsia="仿宋"/>
          <w:sz w:val="30"/>
          <w:szCs w:val="30"/>
        </w:rPr>
        <w:t>万元，其中本年支出合计</w:t>
      </w:r>
      <w:r>
        <w:rPr>
          <w:rFonts w:hint="eastAsia" w:ascii="仿宋" w:hAnsi="仿宋" w:eastAsia="仿宋"/>
          <w:sz w:val="30"/>
          <w:szCs w:val="30"/>
          <w:lang w:val="en-US" w:eastAsia="zh-CN"/>
        </w:rPr>
        <w:t>213.16</w:t>
      </w:r>
      <w:r>
        <w:rPr>
          <w:rFonts w:hint="eastAsia" w:ascii="仿宋" w:hAnsi="仿宋" w:eastAsia="仿宋"/>
          <w:sz w:val="30"/>
          <w:szCs w:val="30"/>
        </w:rPr>
        <w:t>万元，较2019年增加减少</w:t>
      </w:r>
      <w:r>
        <w:rPr>
          <w:rFonts w:hint="eastAsia" w:ascii="仿宋" w:hAnsi="仿宋" w:eastAsia="仿宋"/>
          <w:sz w:val="30"/>
          <w:szCs w:val="30"/>
          <w:lang w:val="en-US" w:eastAsia="zh-CN"/>
        </w:rPr>
        <w:t>688.36</w:t>
      </w:r>
      <w:r>
        <w:rPr>
          <w:rFonts w:hint="eastAsia" w:ascii="仿宋" w:hAnsi="仿宋" w:eastAsia="仿宋"/>
          <w:sz w:val="30"/>
          <w:szCs w:val="30"/>
        </w:rPr>
        <w:t>万元，增长下降</w:t>
      </w:r>
      <w:r>
        <w:rPr>
          <w:rFonts w:hint="eastAsia" w:ascii="仿宋" w:hAnsi="仿宋" w:eastAsia="仿宋"/>
          <w:sz w:val="30"/>
          <w:szCs w:val="30"/>
          <w:lang w:val="en-US" w:eastAsia="zh-CN"/>
        </w:rPr>
        <w:t>76.36</w:t>
      </w:r>
      <w:r>
        <w:rPr>
          <w:rFonts w:hint="eastAsia" w:ascii="仿宋" w:hAnsi="仿宋" w:eastAsia="仿宋"/>
          <w:sz w:val="30"/>
          <w:szCs w:val="30"/>
        </w:rPr>
        <w:t xml:space="preserve"> %，主要原因是：</w:t>
      </w:r>
      <w:r>
        <w:rPr>
          <w:rFonts w:hint="eastAsia" w:ascii="仿宋" w:hAnsi="仿宋" w:eastAsia="仿宋"/>
          <w:sz w:val="30"/>
          <w:szCs w:val="30"/>
          <w:lang w:eastAsia="zh-CN"/>
        </w:rPr>
        <w:t>上年度支付征地款</w:t>
      </w:r>
      <w:r>
        <w:rPr>
          <w:rFonts w:hint="eastAsia" w:ascii="仿宋" w:hAnsi="仿宋" w:eastAsia="仿宋"/>
          <w:sz w:val="30"/>
          <w:szCs w:val="30"/>
          <w:lang w:val="en-US" w:eastAsia="zh-CN"/>
        </w:rPr>
        <w:t>720万元</w:t>
      </w:r>
      <w:r>
        <w:rPr>
          <w:rFonts w:hint="eastAsia" w:ascii="仿宋" w:hAnsi="仿宋" w:eastAsia="仿宋"/>
          <w:sz w:val="30"/>
          <w:szCs w:val="30"/>
        </w:rPr>
        <w:t>；年末结转和结余</w:t>
      </w:r>
      <w:r>
        <w:rPr>
          <w:rFonts w:hint="eastAsia" w:ascii="仿宋" w:hAnsi="仿宋" w:eastAsia="仿宋"/>
          <w:sz w:val="30"/>
          <w:szCs w:val="30"/>
          <w:lang w:val="en-US" w:eastAsia="zh-CN"/>
        </w:rPr>
        <w:t>0</w:t>
      </w:r>
      <w:r>
        <w:rPr>
          <w:rFonts w:hint="eastAsia" w:ascii="仿宋" w:hAnsi="仿宋" w:eastAsia="仿宋"/>
          <w:sz w:val="30"/>
          <w:szCs w:val="30"/>
        </w:rPr>
        <w:t>万元，较2019年减少</w:t>
      </w:r>
      <w:r>
        <w:rPr>
          <w:rFonts w:hint="eastAsia" w:ascii="仿宋" w:hAnsi="仿宋" w:eastAsia="仿宋"/>
          <w:sz w:val="30"/>
          <w:szCs w:val="30"/>
          <w:lang w:val="en-US" w:eastAsia="zh-CN"/>
        </w:rPr>
        <w:t>720</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%，主要原因是：</w:t>
      </w:r>
      <w:r>
        <w:rPr>
          <w:rFonts w:hint="eastAsia" w:ascii="仿宋" w:hAnsi="仿宋" w:eastAsia="仿宋"/>
          <w:sz w:val="30"/>
          <w:szCs w:val="30"/>
          <w:lang w:eastAsia="zh-CN"/>
        </w:rPr>
        <w:t>上年度未支付完的征地款</w:t>
      </w:r>
      <w:r>
        <w:rPr>
          <w:rFonts w:hint="eastAsia" w:ascii="仿宋" w:hAnsi="仿宋" w:eastAsia="仿宋"/>
          <w:sz w:val="30"/>
          <w:szCs w:val="30"/>
          <w:lang w:val="en-US" w:eastAsia="zh-CN"/>
        </w:rPr>
        <w:t>720万元被财政收回</w:t>
      </w:r>
      <w:r>
        <w:rPr>
          <w:rFonts w:hint="eastAsia" w:ascii="仿宋" w:hAnsi="仿宋" w:eastAsia="仿宋"/>
          <w:sz w:val="30"/>
          <w:szCs w:val="30"/>
        </w:rPr>
        <w:t>。</w:t>
      </w:r>
    </w:p>
    <w:p>
      <w:pPr>
        <w:ind w:firstLine="630"/>
        <w:jc w:val="both"/>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195.07</w:t>
      </w:r>
      <w:r>
        <w:rPr>
          <w:rFonts w:hint="eastAsia" w:ascii="仿宋" w:hAnsi="仿宋" w:eastAsia="仿宋"/>
          <w:sz w:val="30"/>
          <w:szCs w:val="30"/>
        </w:rPr>
        <w:t>万元，占</w:t>
      </w:r>
      <w:r>
        <w:rPr>
          <w:rFonts w:hint="eastAsia" w:ascii="仿宋" w:hAnsi="仿宋" w:eastAsia="仿宋"/>
          <w:sz w:val="30"/>
          <w:szCs w:val="30"/>
          <w:lang w:val="en-US" w:eastAsia="zh-CN"/>
        </w:rPr>
        <w:t>91.51</w:t>
      </w:r>
      <w:r>
        <w:rPr>
          <w:rFonts w:hint="eastAsia" w:ascii="仿宋" w:hAnsi="仿宋" w:eastAsia="仿宋"/>
          <w:sz w:val="30"/>
          <w:szCs w:val="30"/>
        </w:rPr>
        <w:t>%；项目支出</w:t>
      </w:r>
      <w:r>
        <w:rPr>
          <w:rFonts w:hint="eastAsia" w:ascii="仿宋" w:hAnsi="仿宋" w:eastAsia="仿宋"/>
          <w:sz w:val="30"/>
          <w:szCs w:val="30"/>
          <w:lang w:val="en-US" w:eastAsia="zh-CN"/>
        </w:rPr>
        <w:t>18.09</w:t>
      </w:r>
      <w:r>
        <w:rPr>
          <w:rFonts w:hint="eastAsia" w:ascii="仿宋" w:hAnsi="仿宋" w:eastAsia="仿宋"/>
          <w:sz w:val="30"/>
          <w:szCs w:val="30"/>
        </w:rPr>
        <w:t>万元，占</w:t>
      </w:r>
      <w:r>
        <w:rPr>
          <w:rFonts w:hint="eastAsia" w:ascii="仿宋" w:hAnsi="仿宋" w:eastAsia="仿宋"/>
          <w:sz w:val="30"/>
          <w:szCs w:val="30"/>
          <w:lang w:val="en-US" w:eastAsia="zh-CN"/>
        </w:rPr>
        <w:t>8.49</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本部门2020年度财政拨款本年支出年初预算数为</w:t>
      </w:r>
      <w:r>
        <w:rPr>
          <w:rFonts w:hint="eastAsia" w:ascii="仿宋" w:hAnsi="仿宋" w:eastAsia="仿宋"/>
          <w:sz w:val="30"/>
          <w:szCs w:val="30"/>
          <w:lang w:val="en-US" w:eastAsia="zh-CN"/>
        </w:rPr>
        <w:t>166.98</w:t>
      </w:r>
      <w:r>
        <w:rPr>
          <w:rFonts w:hint="eastAsia" w:ascii="仿宋" w:hAnsi="仿宋" w:eastAsia="仿宋"/>
          <w:sz w:val="30"/>
          <w:szCs w:val="30"/>
        </w:rPr>
        <w:t>万元，决算数为</w:t>
      </w:r>
      <w:r>
        <w:rPr>
          <w:rFonts w:hint="eastAsia" w:ascii="仿宋" w:hAnsi="仿宋" w:eastAsia="仿宋"/>
          <w:sz w:val="30"/>
          <w:szCs w:val="30"/>
          <w:lang w:val="en-US" w:eastAsia="zh-CN"/>
        </w:rPr>
        <w:t>213.16</w:t>
      </w:r>
      <w:r>
        <w:rPr>
          <w:rFonts w:hint="eastAsia" w:ascii="仿宋" w:hAnsi="仿宋" w:eastAsia="仿宋"/>
          <w:sz w:val="30"/>
          <w:szCs w:val="30"/>
        </w:rPr>
        <w:t>万元，完成年初预算的</w:t>
      </w:r>
      <w:r>
        <w:rPr>
          <w:rFonts w:hint="eastAsia" w:ascii="仿宋" w:hAnsi="仿宋" w:eastAsia="仿宋"/>
          <w:sz w:val="30"/>
          <w:szCs w:val="30"/>
          <w:lang w:val="en-US" w:eastAsia="zh-CN"/>
        </w:rPr>
        <w:t>127.66</w:t>
      </w:r>
      <w:r>
        <w:rPr>
          <w:rFonts w:hint="eastAsia" w:ascii="仿宋" w:hAnsi="仿宋" w:eastAsia="仿宋"/>
          <w:sz w:val="30"/>
          <w:szCs w:val="30"/>
        </w:rPr>
        <w:t>%。其中：</w:t>
      </w: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（一）</w:t>
      </w:r>
      <w:r>
        <w:rPr>
          <w:rFonts w:hint="eastAsia" w:ascii="仿宋" w:hAnsi="仿宋" w:eastAsia="仿宋"/>
          <w:sz w:val="30"/>
          <w:szCs w:val="30"/>
          <w:lang w:eastAsia="zh-CN"/>
        </w:rPr>
        <w:t>文化旅游体育与传媒</w:t>
      </w:r>
      <w:r>
        <w:rPr>
          <w:rFonts w:hint="eastAsia" w:ascii="仿宋" w:hAnsi="仿宋" w:eastAsia="仿宋"/>
          <w:sz w:val="30"/>
          <w:szCs w:val="30"/>
        </w:rPr>
        <w:t>支出年初预算数为</w:t>
      </w:r>
      <w:r>
        <w:rPr>
          <w:rFonts w:hint="eastAsia" w:ascii="仿宋" w:hAnsi="仿宋" w:eastAsia="仿宋"/>
          <w:sz w:val="30"/>
          <w:szCs w:val="30"/>
          <w:lang w:val="en-US" w:eastAsia="zh-CN"/>
        </w:rPr>
        <w:t>122.25</w:t>
      </w:r>
      <w:r>
        <w:rPr>
          <w:rFonts w:hint="eastAsia" w:ascii="仿宋" w:hAnsi="仿宋" w:eastAsia="仿宋"/>
          <w:sz w:val="30"/>
          <w:szCs w:val="30"/>
        </w:rPr>
        <w:t>万元，决算数为</w:t>
      </w:r>
      <w:r>
        <w:rPr>
          <w:rFonts w:hint="eastAsia" w:ascii="仿宋" w:hAnsi="仿宋" w:eastAsia="仿宋"/>
          <w:sz w:val="30"/>
          <w:szCs w:val="30"/>
          <w:lang w:val="en-US" w:eastAsia="zh-CN"/>
        </w:rPr>
        <w:t>162.29</w:t>
      </w:r>
      <w:r>
        <w:rPr>
          <w:rFonts w:hint="eastAsia" w:ascii="仿宋" w:hAnsi="仿宋" w:eastAsia="仿宋"/>
          <w:sz w:val="30"/>
          <w:szCs w:val="30"/>
        </w:rPr>
        <w:t>万元，完成年初预算的</w:t>
      </w:r>
      <w:r>
        <w:rPr>
          <w:rFonts w:hint="eastAsia" w:ascii="仿宋" w:hAnsi="仿宋" w:eastAsia="仿宋"/>
          <w:sz w:val="30"/>
          <w:szCs w:val="30"/>
          <w:lang w:val="en-US" w:eastAsia="zh-CN"/>
        </w:rPr>
        <w:t>132.75</w:t>
      </w:r>
      <w:r>
        <w:rPr>
          <w:rFonts w:hint="eastAsia" w:ascii="仿宋" w:hAnsi="仿宋" w:eastAsia="仿宋"/>
          <w:sz w:val="30"/>
          <w:szCs w:val="30"/>
        </w:rPr>
        <w:t xml:space="preserve"> %，主要原因是：</w:t>
      </w:r>
      <w:r>
        <w:rPr>
          <w:rFonts w:hint="eastAsia" w:ascii="仿宋" w:hAnsi="仿宋" w:eastAsia="仿宋"/>
          <w:sz w:val="30"/>
          <w:szCs w:val="30"/>
          <w:lang w:val="en-US" w:eastAsia="zh-CN"/>
        </w:rPr>
        <w:t>2020年增加了广电专项资金10万元、增加了八五一台迁建前期费用18.09万元、人员变动增加经费等。</w:t>
      </w:r>
    </w:p>
    <w:p>
      <w:pPr>
        <w:ind w:firstLine="630"/>
        <w:jc w:val="left"/>
        <w:rPr>
          <w:rFonts w:hint="eastAsia" w:ascii="仿宋" w:hAnsi="仿宋" w:eastAsia="仿宋"/>
          <w:sz w:val="30"/>
          <w:szCs w:val="30"/>
        </w:rPr>
      </w:pPr>
      <w:r>
        <w:rPr>
          <w:rFonts w:hint="eastAsia" w:ascii="仿宋" w:hAnsi="仿宋" w:eastAsia="仿宋"/>
          <w:sz w:val="30"/>
          <w:szCs w:val="30"/>
          <w:lang w:val="en-US" w:eastAsia="zh-CN"/>
        </w:rPr>
        <w:t>(</w:t>
      </w:r>
      <w:r>
        <w:rPr>
          <w:rFonts w:hint="eastAsia" w:ascii="仿宋" w:hAnsi="仿宋" w:eastAsia="仿宋"/>
          <w:sz w:val="30"/>
          <w:szCs w:val="30"/>
        </w:rPr>
        <w:t>二）</w:t>
      </w:r>
      <w:r>
        <w:rPr>
          <w:rFonts w:hint="eastAsia" w:ascii="仿宋" w:hAnsi="仿宋" w:eastAsia="仿宋"/>
          <w:sz w:val="30"/>
          <w:szCs w:val="30"/>
          <w:lang w:eastAsia="zh-CN"/>
        </w:rPr>
        <w:t>社会保障和就业</w:t>
      </w:r>
      <w:r>
        <w:rPr>
          <w:rFonts w:hint="eastAsia" w:ascii="仿宋" w:hAnsi="仿宋" w:eastAsia="仿宋"/>
          <w:sz w:val="30"/>
          <w:szCs w:val="30"/>
        </w:rPr>
        <w:t>支出年初预算数为</w:t>
      </w:r>
      <w:r>
        <w:rPr>
          <w:rFonts w:hint="eastAsia" w:ascii="仿宋" w:hAnsi="仿宋" w:eastAsia="仿宋"/>
          <w:sz w:val="30"/>
          <w:szCs w:val="30"/>
          <w:lang w:val="en-US" w:eastAsia="zh-CN"/>
        </w:rPr>
        <w:t>13.88</w:t>
      </w:r>
      <w:r>
        <w:rPr>
          <w:rFonts w:hint="eastAsia" w:ascii="仿宋" w:hAnsi="仿宋" w:eastAsia="仿宋"/>
          <w:sz w:val="30"/>
          <w:szCs w:val="30"/>
        </w:rPr>
        <w:t>万元，决算数为</w:t>
      </w:r>
      <w:r>
        <w:rPr>
          <w:rFonts w:hint="eastAsia" w:ascii="仿宋" w:hAnsi="仿宋" w:eastAsia="仿宋"/>
          <w:sz w:val="30"/>
          <w:szCs w:val="30"/>
          <w:lang w:val="en-US" w:eastAsia="zh-CN"/>
        </w:rPr>
        <w:t>18.79</w:t>
      </w:r>
      <w:r>
        <w:rPr>
          <w:rFonts w:hint="eastAsia" w:ascii="仿宋" w:hAnsi="仿宋" w:eastAsia="仿宋"/>
          <w:sz w:val="30"/>
          <w:szCs w:val="30"/>
        </w:rPr>
        <w:t>万元，完成年初预算的</w:t>
      </w:r>
      <w:r>
        <w:rPr>
          <w:rFonts w:hint="eastAsia" w:ascii="仿宋" w:hAnsi="仿宋" w:eastAsia="仿宋"/>
          <w:sz w:val="30"/>
          <w:szCs w:val="30"/>
          <w:lang w:val="en-US" w:eastAsia="zh-CN"/>
        </w:rPr>
        <w:t>135.37</w:t>
      </w:r>
      <w:r>
        <w:rPr>
          <w:rFonts w:hint="eastAsia" w:ascii="仿宋" w:hAnsi="仿宋" w:eastAsia="仿宋"/>
          <w:sz w:val="30"/>
          <w:szCs w:val="30"/>
        </w:rPr>
        <w:t>%，主要原因是：</w:t>
      </w:r>
      <w:r>
        <w:rPr>
          <w:rFonts w:hint="eastAsia" w:ascii="仿宋" w:hAnsi="仿宋" w:eastAsia="仿宋"/>
          <w:sz w:val="30"/>
          <w:szCs w:val="30"/>
          <w:lang w:eastAsia="zh-CN"/>
        </w:rPr>
        <w:t>社会保障缴费基数提高和人员变动增加缴费基数</w:t>
      </w:r>
      <w:r>
        <w:rPr>
          <w:rFonts w:hint="eastAsia" w:ascii="仿宋" w:hAnsi="仿宋" w:eastAsia="仿宋"/>
          <w:sz w:val="30"/>
          <w:szCs w:val="30"/>
        </w:rPr>
        <w:t>。</w:t>
      </w:r>
    </w:p>
    <w:p>
      <w:p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（三）卫生健康支出年初预算数为</w:t>
      </w:r>
      <w:r>
        <w:rPr>
          <w:rFonts w:hint="eastAsia" w:ascii="仿宋" w:hAnsi="仿宋" w:eastAsia="仿宋"/>
          <w:sz w:val="30"/>
          <w:szCs w:val="30"/>
          <w:lang w:val="en-US" w:eastAsia="zh-CN"/>
        </w:rPr>
        <w:t>20.08万元，决算数为20.54万元，完成年初预算的102.29%，主要原因是：医疗保险缴费基数提高和人员变动增加</w:t>
      </w:r>
      <w:r>
        <w:rPr>
          <w:rFonts w:hint="eastAsia" w:ascii="仿宋" w:hAnsi="仿宋" w:eastAsia="仿宋"/>
          <w:sz w:val="30"/>
          <w:szCs w:val="30"/>
          <w:lang w:eastAsia="zh-CN"/>
        </w:rPr>
        <w:t>缴费基数</w:t>
      </w:r>
      <w:r>
        <w:rPr>
          <w:rFonts w:hint="eastAsia" w:ascii="仿宋" w:hAnsi="仿宋" w:eastAsia="仿宋"/>
          <w:sz w:val="30"/>
          <w:szCs w:val="30"/>
          <w:lang w:val="en-US" w:eastAsia="zh-CN"/>
        </w:rPr>
        <w:t>。</w:t>
      </w:r>
    </w:p>
    <w:p>
      <w:p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（四）住房保障支出支出年初预算数为</w:t>
      </w:r>
      <w:r>
        <w:rPr>
          <w:rFonts w:hint="eastAsia" w:ascii="仿宋" w:hAnsi="仿宋" w:eastAsia="仿宋"/>
          <w:sz w:val="30"/>
          <w:szCs w:val="30"/>
          <w:lang w:val="en-US" w:eastAsia="zh-CN"/>
        </w:rPr>
        <w:t>10.77万元，决算数为11.54万元，完成年初预算的107.15%，主要原因是：住房公积金缴费基数提高和人员变动增加</w:t>
      </w:r>
      <w:r>
        <w:rPr>
          <w:rFonts w:hint="eastAsia" w:ascii="仿宋" w:hAnsi="仿宋" w:eastAsia="仿宋"/>
          <w:sz w:val="30"/>
          <w:szCs w:val="30"/>
          <w:lang w:eastAsia="zh-CN"/>
        </w:rPr>
        <w:t>缴费基数</w:t>
      </w:r>
      <w:r>
        <w:rPr>
          <w:rFonts w:hint="eastAsia" w:ascii="仿宋" w:hAnsi="仿宋" w:eastAsia="仿宋"/>
          <w:sz w:val="30"/>
          <w:szCs w:val="30"/>
          <w:lang w:val="en-US" w:eastAsia="zh-CN"/>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本部门2020年度一般公共预算财政拨款基本支出</w:t>
      </w:r>
      <w:r>
        <w:rPr>
          <w:rFonts w:hint="eastAsia" w:ascii="仿宋" w:hAnsi="仿宋" w:eastAsia="仿宋"/>
          <w:sz w:val="30"/>
          <w:szCs w:val="30"/>
          <w:lang w:val="en-US" w:eastAsia="zh-CN"/>
        </w:rPr>
        <w:t>195.07</w:t>
      </w:r>
      <w:r>
        <w:rPr>
          <w:rFonts w:hint="eastAsia" w:ascii="仿宋" w:hAnsi="仿宋" w:eastAsia="仿宋"/>
          <w:sz w:val="30"/>
          <w:szCs w:val="30"/>
        </w:rPr>
        <w:t xml:space="preserve">  万元，其中：</w:t>
      </w:r>
    </w:p>
    <w:p>
      <w:pPr>
        <w:ind w:firstLine="585"/>
        <w:jc w:val="left"/>
        <w:rPr>
          <w:rFonts w:hint="eastAsia" w:ascii="仿宋" w:hAnsi="仿宋" w:eastAsia="仿宋"/>
          <w:sz w:val="30"/>
          <w:szCs w:val="30"/>
        </w:rPr>
      </w:pPr>
      <w:r>
        <w:rPr>
          <w:rFonts w:hint="eastAsia" w:ascii="仿宋" w:hAnsi="仿宋" w:eastAsia="仿宋"/>
          <w:sz w:val="30"/>
          <w:szCs w:val="30"/>
        </w:rPr>
        <w:t xml:space="preserve">（一）工资福利支出 </w:t>
      </w:r>
      <w:r>
        <w:rPr>
          <w:rFonts w:hint="eastAsia" w:ascii="仿宋" w:hAnsi="仿宋" w:eastAsia="仿宋"/>
          <w:sz w:val="30"/>
          <w:szCs w:val="30"/>
          <w:lang w:val="en-US" w:eastAsia="zh-CN"/>
        </w:rPr>
        <w:t>181.93</w:t>
      </w:r>
      <w:r>
        <w:rPr>
          <w:rFonts w:hint="eastAsia" w:ascii="仿宋" w:hAnsi="仿宋" w:eastAsia="仿宋"/>
          <w:sz w:val="30"/>
          <w:szCs w:val="30"/>
        </w:rPr>
        <w:t>万元，较2019年增加</w:t>
      </w:r>
      <w:r>
        <w:rPr>
          <w:rFonts w:hint="eastAsia" w:ascii="仿宋" w:hAnsi="仿宋" w:eastAsia="仿宋"/>
          <w:sz w:val="30"/>
          <w:szCs w:val="30"/>
          <w:lang w:val="en-US" w:eastAsia="zh-CN"/>
        </w:rPr>
        <w:t>11.62</w:t>
      </w:r>
      <w:r>
        <w:rPr>
          <w:rFonts w:hint="eastAsia" w:ascii="仿宋" w:hAnsi="仿宋" w:eastAsia="仿宋"/>
          <w:sz w:val="30"/>
          <w:szCs w:val="30"/>
        </w:rPr>
        <w:t>万元，增长</w:t>
      </w:r>
      <w:r>
        <w:rPr>
          <w:rFonts w:hint="eastAsia" w:ascii="仿宋" w:hAnsi="仿宋" w:eastAsia="仿宋"/>
          <w:sz w:val="30"/>
          <w:szCs w:val="30"/>
          <w:lang w:val="en-US" w:eastAsia="zh-CN"/>
        </w:rPr>
        <w:t>6.82</w:t>
      </w:r>
      <w:r>
        <w:rPr>
          <w:rFonts w:hint="eastAsia" w:ascii="仿宋" w:hAnsi="仿宋" w:eastAsia="仿宋"/>
          <w:sz w:val="30"/>
          <w:szCs w:val="30"/>
        </w:rPr>
        <w:t>%，主要原因是：</w:t>
      </w:r>
      <w:r>
        <w:rPr>
          <w:rFonts w:hint="eastAsia" w:ascii="仿宋" w:hAnsi="仿宋" w:eastAsia="仿宋"/>
          <w:sz w:val="30"/>
          <w:szCs w:val="30"/>
          <w:lang w:eastAsia="zh-CN"/>
        </w:rPr>
        <w:t>人员变动</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7.77</w:t>
      </w:r>
      <w:r>
        <w:rPr>
          <w:rFonts w:hint="eastAsia" w:ascii="仿宋" w:hAnsi="仿宋" w:eastAsia="仿宋"/>
          <w:sz w:val="30"/>
          <w:szCs w:val="30"/>
        </w:rPr>
        <w:t>万元，较2019年减少</w:t>
      </w:r>
      <w:r>
        <w:rPr>
          <w:rFonts w:hint="eastAsia" w:ascii="仿宋" w:hAnsi="仿宋" w:eastAsia="仿宋"/>
          <w:sz w:val="30"/>
          <w:szCs w:val="30"/>
          <w:lang w:val="en-US" w:eastAsia="zh-CN"/>
        </w:rPr>
        <w:t>2.67</w:t>
      </w:r>
      <w:r>
        <w:rPr>
          <w:rFonts w:hint="eastAsia" w:ascii="仿宋" w:hAnsi="仿宋" w:eastAsia="仿宋"/>
          <w:sz w:val="30"/>
          <w:szCs w:val="30"/>
        </w:rPr>
        <w:t>万元，下降</w:t>
      </w:r>
      <w:r>
        <w:rPr>
          <w:rFonts w:hint="eastAsia" w:ascii="仿宋" w:hAnsi="仿宋" w:eastAsia="仿宋"/>
          <w:sz w:val="30"/>
          <w:szCs w:val="30"/>
          <w:lang w:val="en-US" w:eastAsia="zh-CN"/>
        </w:rPr>
        <w:t>25.57</w:t>
      </w:r>
      <w:r>
        <w:rPr>
          <w:rFonts w:hint="eastAsia" w:ascii="仿宋" w:hAnsi="仿宋" w:eastAsia="仿宋"/>
          <w:sz w:val="30"/>
          <w:szCs w:val="30"/>
        </w:rPr>
        <w:t>%，主要原因是：</w:t>
      </w:r>
      <w:r>
        <w:rPr>
          <w:rFonts w:hint="eastAsia" w:ascii="仿宋" w:hAnsi="仿宋" w:eastAsia="仿宋"/>
          <w:sz w:val="30"/>
          <w:szCs w:val="30"/>
          <w:lang w:eastAsia="zh-CN"/>
        </w:rPr>
        <w:t>贯彻落实中央八项规定，厉行节约</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 xml:space="preserve">（三）对个人和家庭补助支出 </w:t>
      </w:r>
      <w:r>
        <w:rPr>
          <w:rFonts w:hint="eastAsia" w:ascii="仿宋" w:hAnsi="仿宋" w:eastAsia="仿宋"/>
          <w:sz w:val="30"/>
          <w:szCs w:val="30"/>
          <w:lang w:val="en-US" w:eastAsia="zh-CN"/>
        </w:rPr>
        <w:t>5.37</w:t>
      </w:r>
      <w:r>
        <w:rPr>
          <w:rFonts w:hint="eastAsia" w:ascii="仿宋" w:hAnsi="仿宋" w:eastAsia="仿宋"/>
          <w:sz w:val="30"/>
          <w:szCs w:val="30"/>
        </w:rPr>
        <w:t>万元，较2019年增加</w:t>
      </w:r>
      <w:r>
        <w:rPr>
          <w:rFonts w:hint="eastAsia" w:ascii="仿宋" w:hAnsi="仿宋" w:eastAsia="仿宋"/>
          <w:sz w:val="30"/>
          <w:szCs w:val="30"/>
          <w:lang w:val="en-US" w:eastAsia="zh-CN"/>
        </w:rPr>
        <w:t>4.6</w:t>
      </w:r>
      <w:r>
        <w:rPr>
          <w:rFonts w:hint="eastAsia" w:ascii="仿宋" w:hAnsi="仿宋" w:eastAsia="仿宋"/>
          <w:sz w:val="30"/>
          <w:szCs w:val="30"/>
        </w:rPr>
        <w:t>万元，增长</w:t>
      </w:r>
      <w:r>
        <w:rPr>
          <w:rFonts w:hint="eastAsia" w:ascii="仿宋" w:hAnsi="仿宋" w:eastAsia="仿宋"/>
          <w:sz w:val="30"/>
          <w:szCs w:val="30"/>
          <w:lang w:val="en-US" w:eastAsia="zh-CN"/>
        </w:rPr>
        <w:t>597.4</w:t>
      </w:r>
      <w:r>
        <w:rPr>
          <w:rFonts w:hint="eastAsia" w:ascii="仿宋" w:hAnsi="仿宋" w:eastAsia="仿宋"/>
          <w:sz w:val="30"/>
          <w:szCs w:val="30"/>
        </w:rPr>
        <w:t>%，主要原因是：</w:t>
      </w:r>
      <w:r>
        <w:rPr>
          <w:rFonts w:hint="eastAsia" w:ascii="仿宋" w:hAnsi="仿宋" w:eastAsia="仿宋"/>
          <w:sz w:val="30"/>
          <w:szCs w:val="30"/>
          <w:lang w:eastAsia="zh-CN"/>
        </w:rPr>
        <w:t>退休人员变动</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w:t>
      </w:r>
      <w:r>
        <w:rPr>
          <w:rFonts w:hint="eastAsia" w:ascii="仿宋" w:hAnsi="仿宋" w:eastAsia="仿宋"/>
          <w:sz w:val="30"/>
          <w:szCs w:val="30"/>
        </w:rPr>
        <w:t>万元，较2019年</w:t>
      </w:r>
      <w:r>
        <w:rPr>
          <w:rFonts w:hint="eastAsia" w:ascii="仿宋" w:hAnsi="仿宋" w:eastAsia="仿宋"/>
          <w:sz w:val="30"/>
          <w:szCs w:val="30"/>
          <w:lang w:eastAsia="zh-CN"/>
        </w:rPr>
        <w:t>无增减</w:t>
      </w:r>
      <w:r>
        <w:rPr>
          <w:rFonts w:hint="eastAsia" w:ascii="仿宋" w:hAnsi="仿宋" w:eastAsia="仿宋"/>
          <w:sz w:val="30"/>
          <w:szCs w:val="30"/>
        </w:rPr>
        <w:t>，主要原因是：</w:t>
      </w:r>
      <w:r>
        <w:rPr>
          <w:rFonts w:hint="eastAsia" w:ascii="仿宋" w:hAnsi="仿宋" w:eastAsia="仿宋"/>
          <w:sz w:val="30"/>
          <w:szCs w:val="30"/>
          <w:lang w:eastAsia="zh-CN"/>
        </w:rPr>
        <w:t>无专用设备购置支出</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本部门2020年度“三公”经费支出年初预算数为 </w:t>
      </w:r>
      <w:r>
        <w:rPr>
          <w:rFonts w:hint="eastAsia" w:ascii="仿宋" w:hAnsi="仿宋" w:eastAsia="仿宋"/>
          <w:sz w:val="30"/>
          <w:szCs w:val="30"/>
          <w:lang w:val="en-US" w:eastAsia="zh-CN"/>
        </w:rPr>
        <w:t>0.76</w:t>
      </w:r>
      <w:r>
        <w:rPr>
          <w:rFonts w:hint="eastAsia" w:ascii="仿宋" w:hAnsi="仿宋" w:eastAsia="仿宋"/>
          <w:sz w:val="30"/>
          <w:szCs w:val="30"/>
        </w:rPr>
        <w:t>万元，决算数为</w:t>
      </w:r>
      <w:r>
        <w:rPr>
          <w:rFonts w:hint="eastAsia" w:ascii="仿宋" w:hAnsi="仿宋" w:eastAsia="仿宋"/>
          <w:sz w:val="30"/>
          <w:szCs w:val="30"/>
          <w:lang w:val="en-US" w:eastAsia="zh-CN"/>
        </w:rPr>
        <w:t>0.1</w:t>
      </w:r>
      <w:r>
        <w:rPr>
          <w:rFonts w:hint="eastAsia" w:ascii="仿宋" w:hAnsi="仿宋" w:eastAsia="仿宋"/>
          <w:sz w:val="30"/>
          <w:szCs w:val="30"/>
        </w:rPr>
        <w:t>万元，完成预算的</w:t>
      </w:r>
      <w:r>
        <w:rPr>
          <w:rFonts w:hint="eastAsia" w:ascii="仿宋" w:hAnsi="仿宋" w:eastAsia="仿宋"/>
          <w:sz w:val="30"/>
          <w:szCs w:val="30"/>
          <w:lang w:val="en-US" w:eastAsia="zh-CN"/>
        </w:rPr>
        <w:t>13.16</w:t>
      </w:r>
      <w:r>
        <w:rPr>
          <w:rFonts w:hint="eastAsia" w:ascii="仿宋" w:hAnsi="仿宋" w:eastAsia="仿宋"/>
          <w:sz w:val="30"/>
          <w:szCs w:val="30"/>
        </w:rPr>
        <w:t>%，决算数较2019年增加</w:t>
      </w:r>
      <w:r>
        <w:rPr>
          <w:rFonts w:hint="eastAsia" w:ascii="仿宋" w:hAnsi="仿宋" w:eastAsia="仿宋"/>
          <w:sz w:val="30"/>
          <w:szCs w:val="30"/>
          <w:lang w:val="en-US" w:eastAsia="zh-CN"/>
        </w:rPr>
        <w:t>0.1</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%，其中：</w:t>
      </w:r>
    </w:p>
    <w:p>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完成预算的</w:t>
      </w:r>
      <w:r>
        <w:rPr>
          <w:rFonts w:hint="eastAsia" w:ascii="仿宋" w:hAnsi="仿宋" w:eastAsia="仿宋"/>
          <w:sz w:val="30"/>
          <w:szCs w:val="30"/>
          <w:lang w:val="en-US" w:eastAsia="zh-CN"/>
        </w:rPr>
        <w:t>0</w:t>
      </w:r>
      <w:r>
        <w:rPr>
          <w:rFonts w:hint="eastAsia" w:ascii="仿宋" w:hAnsi="仿宋" w:eastAsia="仿宋"/>
          <w:sz w:val="30"/>
          <w:szCs w:val="30"/>
        </w:rPr>
        <w:t>%，决算数较2019年增加（减少）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主要</w:t>
      </w:r>
      <w:r>
        <w:rPr>
          <w:rFonts w:hint="eastAsia" w:ascii="仿宋" w:hAnsi="仿宋" w:eastAsia="仿宋"/>
          <w:sz w:val="30"/>
          <w:szCs w:val="30"/>
          <w:lang w:eastAsia="zh-CN"/>
        </w:rPr>
        <w:t>原因</w:t>
      </w:r>
      <w:r>
        <w:rPr>
          <w:rFonts w:hint="eastAsia" w:ascii="仿宋" w:hAnsi="仿宋" w:eastAsia="仿宋"/>
          <w:sz w:val="30"/>
          <w:szCs w:val="30"/>
          <w:lang w:val="en-US" w:eastAsia="zh-CN"/>
        </w:rPr>
        <w:t>是</w:t>
      </w:r>
      <w:r>
        <w:rPr>
          <w:rFonts w:hint="eastAsia" w:ascii="仿宋" w:hAnsi="仿宋" w:eastAsia="仿宋"/>
          <w:sz w:val="30"/>
          <w:szCs w:val="30"/>
          <w:lang w:eastAsia="zh-CN"/>
        </w:rPr>
        <w:t>本年度未安排</w:t>
      </w:r>
      <w:r>
        <w:rPr>
          <w:rFonts w:hint="eastAsia" w:ascii="仿宋" w:hAnsi="仿宋" w:eastAsia="仿宋"/>
          <w:sz w:val="30"/>
          <w:szCs w:val="30"/>
        </w:rPr>
        <w:t>因公出国（境）支出。决算数较年初预算数增加（减少）的主要原因是：</w:t>
      </w:r>
      <w:r>
        <w:rPr>
          <w:rFonts w:hint="eastAsia" w:ascii="仿宋" w:hAnsi="仿宋" w:eastAsia="仿宋"/>
          <w:sz w:val="30"/>
          <w:szCs w:val="30"/>
          <w:lang w:eastAsia="zh-CN"/>
        </w:rPr>
        <w:t>本年度未安排</w:t>
      </w:r>
      <w:r>
        <w:rPr>
          <w:rFonts w:hint="eastAsia" w:ascii="仿宋" w:hAnsi="仿宋" w:eastAsia="仿宋"/>
          <w:sz w:val="30"/>
          <w:szCs w:val="30"/>
        </w:rPr>
        <w:t>因公出国（境）支出。</w:t>
      </w:r>
      <w:r>
        <w:rPr>
          <w:rFonts w:hint="eastAsia" w:ascii="仿宋" w:hAnsi="仿宋" w:eastAsia="仿宋"/>
          <w:sz w:val="30"/>
          <w:szCs w:val="30"/>
          <w:lang w:val="en-US" w:eastAsia="zh-CN"/>
        </w:rPr>
        <w:t>全年安排因公出国（境）团组0个，累计  0人次，主要为：无</w:t>
      </w:r>
      <w:r>
        <w:rPr>
          <w:rFonts w:hint="eastAsia" w:ascii="仿宋" w:hAnsi="仿宋" w:eastAsia="仿宋"/>
          <w:sz w:val="30"/>
          <w:szCs w:val="30"/>
        </w:rPr>
        <w:t>。</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0.76</w:t>
      </w:r>
      <w:r>
        <w:rPr>
          <w:rFonts w:hint="eastAsia" w:ascii="仿宋" w:hAnsi="仿宋" w:eastAsia="仿宋"/>
          <w:sz w:val="30"/>
          <w:szCs w:val="30"/>
        </w:rPr>
        <w:t>万元，决算数为</w:t>
      </w:r>
      <w:r>
        <w:rPr>
          <w:rFonts w:hint="eastAsia" w:ascii="仿宋" w:hAnsi="仿宋" w:eastAsia="仿宋"/>
          <w:sz w:val="30"/>
          <w:szCs w:val="30"/>
          <w:lang w:val="en-US" w:eastAsia="zh-CN"/>
        </w:rPr>
        <w:t>0.1</w:t>
      </w:r>
      <w:r>
        <w:rPr>
          <w:rFonts w:hint="eastAsia" w:ascii="仿宋" w:hAnsi="仿宋" w:eastAsia="仿宋"/>
          <w:sz w:val="30"/>
          <w:szCs w:val="30"/>
        </w:rPr>
        <w:t>万元，完成预算的</w:t>
      </w:r>
      <w:r>
        <w:rPr>
          <w:rFonts w:hint="eastAsia" w:ascii="仿宋" w:hAnsi="仿宋" w:eastAsia="仿宋"/>
          <w:sz w:val="30"/>
          <w:szCs w:val="30"/>
          <w:lang w:val="en-US" w:eastAsia="zh-CN"/>
        </w:rPr>
        <w:t>13.16</w:t>
      </w:r>
      <w:r>
        <w:rPr>
          <w:rFonts w:hint="eastAsia" w:ascii="仿宋" w:hAnsi="仿宋" w:eastAsia="仿宋"/>
          <w:sz w:val="30"/>
          <w:szCs w:val="30"/>
        </w:rPr>
        <w:t>%，决算数较2019年增加</w:t>
      </w:r>
      <w:r>
        <w:rPr>
          <w:rFonts w:hint="eastAsia" w:ascii="仿宋" w:hAnsi="仿宋" w:eastAsia="仿宋"/>
          <w:sz w:val="30"/>
          <w:szCs w:val="30"/>
          <w:lang w:val="en-US" w:eastAsia="zh-CN"/>
        </w:rPr>
        <w:t>0.1</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主要原因是上级主管单位领导视察851台迁建前期工作</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贯彻落实中央八项规定，厉行节约</w:t>
      </w:r>
      <w:r>
        <w:rPr>
          <w:rFonts w:hint="eastAsia" w:ascii="仿宋" w:hAnsi="仿宋" w:eastAsia="仿宋"/>
          <w:sz w:val="30"/>
          <w:szCs w:val="30"/>
        </w:rPr>
        <w:t>。</w:t>
      </w:r>
      <w:r>
        <w:rPr>
          <w:rFonts w:hint="eastAsia" w:ascii="仿宋" w:hAnsi="仿宋" w:eastAsia="仿宋"/>
          <w:sz w:val="30"/>
          <w:szCs w:val="30"/>
          <w:lang w:val="en-US" w:eastAsia="zh-CN"/>
        </w:rPr>
        <w:t>全年国内公务接待1批，累计接待7人次，其中外事接待0 批，累计接待0人次，</w:t>
      </w:r>
      <w:r>
        <w:rPr>
          <w:rFonts w:hint="eastAsia" w:ascii="仿宋" w:hAnsi="仿宋" w:eastAsia="仿宋" w:cs="Times New Roman"/>
          <w:sz w:val="30"/>
          <w:szCs w:val="30"/>
          <w:lang w:val="en-US" w:eastAsia="zh-CN"/>
        </w:rPr>
        <w:t>主要原因是无外事接待</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 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w:t>
      </w:r>
      <w:r>
        <w:rPr>
          <w:rFonts w:hint="eastAsia" w:ascii="仿宋" w:hAnsi="仿宋" w:eastAsia="仿宋"/>
          <w:sz w:val="30"/>
          <w:szCs w:val="30"/>
          <w:lang w:eastAsia="zh-CN"/>
        </w:rPr>
        <w:t>无增减，</w:t>
      </w:r>
      <w:r>
        <w:rPr>
          <w:rFonts w:hint="eastAsia" w:ascii="仿宋" w:hAnsi="仿宋" w:eastAsia="仿宋"/>
          <w:sz w:val="30"/>
          <w:szCs w:val="30"/>
        </w:rPr>
        <w:t>增长（下降）</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主要原因是本单位未安排购置公务用车支出</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 0 辆</w:t>
      </w:r>
      <w:r>
        <w:rPr>
          <w:rFonts w:hint="eastAsia" w:ascii="仿宋" w:hAnsi="仿宋" w:eastAsia="仿宋"/>
          <w:sz w:val="30"/>
          <w:szCs w:val="30"/>
        </w:rPr>
        <w:t>。决算数较年初预算数增加（减少）的主要原因是：</w:t>
      </w:r>
      <w:r>
        <w:rPr>
          <w:rFonts w:hint="eastAsia" w:ascii="仿宋" w:hAnsi="仿宋" w:eastAsia="仿宋"/>
          <w:sz w:val="30"/>
          <w:szCs w:val="30"/>
          <w:lang w:val="en-US" w:eastAsia="zh-CN"/>
        </w:rPr>
        <w:t>我台无公务用车</w:t>
      </w:r>
      <w:r>
        <w:rPr>
          <w:rFonts w:hint="eastAsia" w:ascii="仿宋" w:hAnsi="仿宋" w:eastAsia="仿宋"/>
          <w:sz w:val="30"/>
          <w:szCs w:val="30"/>
        </w:rPr>
        <w:t xml:space="preserve">；公务用车运行维护费支出年初预算数为 </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w:t>
      </w:r>
      <w:r>
        <w:rPr>
          <w:rFonts w:hint="eastAsia" w:ascii="仿宋" w:hAnsi="仿宋" w:eastAsia="仿宋"/>
          <w:sz w:val="30"/>
          <w:szCs w:val="30"/>
          <w:lang w:eastAsia="zh-CN"/>
        </w:rPr>
        <w:t>无</w:t>
      </w:r>
      <w:r>
        <w:rPr>
          <w:rFonts w:hint="eastAsia" w:ascii="仿宋" w:hAnsi="仿宋" w:eastAsia="仿宋"/>
          <w:sz w:val="30"/>
          <w:szCs w:val="30"/>
        </w:rPr>
        <w:t>增减</w:t>
      </w:r>
      <w:r>
        <w:rPr>
          <w:rFonts w:hint="eastAsia" w:ascii="仿宋" w:hAnsi="仿宋" w:eastAsia="仿宋"/>
          <w:sz w:val="30"/>
          <w:szCs w:val="30"/>
          <w:lang w:eastAsia="zh-CN"/>
        </w:rPr>
        <w:t>，</w:t>
      </w:r>
      <w:r>
        <w:rPr>
          <w:rFonts w:hint="eastAsia" w:ascii="仿宋" w:hAnsi="仿宋" w:eastAsia="仿宋"/>
          <w:sz w:val="30"/>
          <w:szCs w:val="30"/>
        </w:rPr>
        <w:t>增长（下降）</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主要原因是</w:t>
      </w:r>
      <w:r>
        <w:rPr>
          <w:rFonts w:hint="eastAsia" w:ascii="仿宋" w:hAnsi="仿宋" w:eastAsia="仿宋"/>
          <w:sz w:val="30"/>
          <w:szCs w:val="30"/>
          <w:lang w:eastAsia="zh-CN"/>
        </w:rPr>
        <w:t>本年度未安排公务用车维护费支出，</w:t>
      </w:r>
      <w:r>
        <w:rPr>
          <w:rFonts w:hint="eastAsia" w:ascii="仿宋" w:hAnsi="仿宋" w:eastAsia="仿宋"/>
          <w:sz w:val="30"/>
          <w:szCs w:val="30"/>
          <w:lang w:val="en-US" w:eastAsia="zh-CN"/>
        </w:rPr>
        <w:t>年末公务用车保有 0 辆</w:t>
      </w:r>
      <w:r>
        <w:rPr>
          <w:rFonts w:hint="eastAsia" w:ascii="仿宋" w:hAnsi="仿宋" w:eastAsia="仿宋"/>
          <w:sz w:val="30"/>
          <w:szCs w:val="30"/>
        </w:rPr>
        <w:t>。决算数较年初预算数增加（减少）的主要原因是：</w:t>
      </w:r>
      <w:r>
        <w:rPr>
          <w:rFonts w:hint="eastAsia" w:ascii="仿宋" w:hAnsi="仿宋" w:eastAsia="仿宋"/>
          <w:sz w:val="30"/>
          <w:szCs w:val="30"/>
          <w:lang w:val="en-US" w:eastAsia="zh-CN"/>
        </w:rPr>
        <w:t>无变化</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本部门2020年度机关运行经费支出</w:t>
      </w:r>
      <w:r>
        <w:rPr>
          <w:rFonts w:hint="eastAsia" w:ascii="仿宋" w:hAnsi="仿宋" w:eastAsia="仿宋"/>
          <w:sz w:val="30"/>
          <w:szCs w:val="30"/>
          <w:lang w:val="en-US" w:eastAsia="zh-CN"/>
        </w:rPr>
        <w:t>0</w:t>
      </w:r>
      <w:r>
        <w:rPr>
          <w:rFonts w:hint="eastAsia" w:ascii="仿宋" w:hAnsi="仿宋" w:eastAsia="仿宋"/>
          <w:sz w:val="30"/>
          <w:szCs w:val="30"/>
        </w:rPr>
        <w:t>万元（与部门决算中行政单位和参照公务员法管理事业单位一般公共预算财政拨款基本支出中公用经费之和一致），较年初预算数</w:t>
      </w:r>
      <w:r>
        <w:rPr>
          <w:rFonts w:hint="eastAsia" w:ascii="仿宋" w:hAnsi="仿宋" w:eastAsia="仿宋"/>
          <w:sz w:val="30"/>
          <w:szCs w:val="30"/>
          <w:lang w:eastAsia="zh-CN"/>
        </w:rPr>
        <w:t>（</w:t>
      </w:r>
      <w:r>
        <w:rPr>
          <w:rFonts w:hint="eastAsia" w:ascii="仿宋" w:hAnsi="仿宋" w:eastAsia="仿宋"/>
          <w:sz w:val="30"/>
          <w:szCs w:val="30"/>
          <w:lang w:val="en-US" w:eastAsia="zh-CN"/>
        </w:rPr>
        <w:t>或者上年决算数）</w:t>
      </w:r>
      <w:r>
        <w:rPr>
          <w:rFonts w:hint="eastAsia" w:ascii="仿宋" w:hAnsi="仿宋" w:eastAsia="仿宋"/>
          <w:sz w:val="30"/>
          <w:szCs w:val="30"/>
        </w:rPr>
        <w:t>增加（减少）</w:t>
      </w:r>
      <w:r>
        <w:rPr>
          <w:rFonts w:hint="eastAsia" w:ascii="仿宋" w:hAnsi="仿宋" w:eastAsia="仿宋"/>
          <w:sz w:val="30"/>
          <w:szCs w:val="30"/>
          <w:lang w:val="en-US" w:eastAsia="zh-CN"/>
        </w:rPr>
        <w:t>0</w:t>
      </w:r>
      <w:r>
        <w:rPr>
          <w:rFonts w:hint="eastAsia" w:ascii="仿宋" w:hAnsi="仿宋" w:eastAsia="仿宋"/>
          <w:sz w:val="30"/>
          <w:szCs w:val="30"/>
        </w:rPr>
        <w:t>万元，增长（降低）</w:t>
      </w:r>
      <w:r>
        <w:rPr>
          <w:rFonts w:hint="eastAsia" w:ascii="仿宋" w:hAnsi="仿宋" w:eastAsia="仿宋"/>
          <w:sz w:val="30"/>
          <w:szCs w:val="30"/>
          <w:lang w:val="en-US" w:eastAsia="zh-CN"/>
        </w:rPr>
        <w:t>0</w:t>
      </w:r>
      <w:r>
        <w:rPr>
          <w:rFonts w:hint="eastAsia" w:ascii="仿宋" w:hAnsi="仿宋" w:eastAsia="仿宋"/>
          <w:sz w:val="30"/>
          <w:szCs w:val="30"/>
        </w:rPr>
        <w:t>%，主要原因是：</w:t>
      </w:r>
      <w:r>
        <w:rPr>
          <w:rFonts w:hint="eastAsia" w:ascii="仿宋" w:hAnsi="仿宋" w:eastAsia="仿宋"/>
          <w:sz w:val="30"/>
          <w:szCs w:val="30"/>
          <w:lang w:eastAsia="zh-CN"/>
        </w:rPr>
        <w:t>本部门为全额拨款事业单位，故</w:t>
      </w:r>
      <w:r>
        <w:rPr>
          <w:rFonts w:hint="eastAsia" w:ascii="仿宋" w:hAnsi="仿宋" w:eastAsia="仿宋"/>
          <w:sz w:val="30"/>
          <w:szCs w:val="30"/>
        </w:rPr>
        <w:t>年初预算数</w:t>
      </w:r>
      <w:r>
        <w:rPr>
          <w:rFonts w:hint="eastAsia" w:ascii="仿宋" w:hAnsi="仿宋" w:eastAsia="仿宋"/>
          <w:sz w:val="30"/>
          <w:szCs w:val="30"/>
          <w:lang w:eastAsia="zh-CN"/>
        </w:rPr>
        <w:t>未安排机关支行经费支出</w:t>
      </w:r>
      <w:r>
        <w:rPr>
          <w:rFonts w:hint="eastAsia" w:ascii="仿宋" w:hAnsi="仿宋" w:eastAsia="仿宋"/>
          <w:sz w:val="30"/>
          <w:szCs w:val="30"/>
        </w:rPr>
        <w:t>。</w:t>
      </w:r>
    </w:p>
    <w:p>
      <w:pPr>
        <w:ind w:firstLine="602" w:firstLineChars="200"/>
        <w:jc w:val="left"/>
        <w:rPr>
          <w:rFonts w:ascii="黑体" w:hAnsi="黑体" w:eastAsia="黑体"/>
          <w:sz w:val="30"/>
          <w:szCs w:val="30"/>
        </w:rPr>
      </w:pPr>
      <w:r>
        <w:rPr>
          <w:rFonts w:hint="eastAsia" w:ascii="仿宋" w:hAnsi="仿宋" w:eastAsia="仿宋"/>
          <w:b/>
          <w:bCs/>
          <w:sz w:val="30"/>
          <w:szCs w:val="30"/>
          <w:lang w:eastAsia="zh-CN"/>
        </w:rPr>
        <w:t>七</w:t>
      </w:r>
      <w:r>
        <w:rPr>
          <w:rFonts w:hint="eastAsia" w:ascii="黑体" w:hAnsi="黑体" w:eastAsia="黑体"/>
          <w:sz w:val="30"/>
          <w:szCs w:val="30"/>
        </w:rPr>
        <w:t>、政府采购支出情况说明</w:t>
      </w:r>
    </w:p>
    <w:p>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 xml:space="preserve">本部门2020年度政府采购支出总额 </w:t>
      </w:r>
      <w:r>
        <w:rPr>
          <w:rFonts w:hint="eastAsia" w:ascii="仿宋" w:hAnsi="仿宋" w:eastAsia="仿宋"/>
          <w:sz w:val="30"/>
          <w:szCs w:val="30"/>
          <w:lang w:val="en-US" w:eastAsia="zh-CN"/>
        </w:rPr>
        <w:t>10.08</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10.08</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 xml:space="preserve">万元、政府采购服务支出 </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10.08</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100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lang w:eastAsia="zh-CN"/>
        </w:rPr>
        <w:t>八</w:t>
      </w:r>
      <w:r>
        <w:rPr>
          <w:rFonts w:hint="eastAsia" w:ascii="黑体" w:hAnsi="黑体" w:eastAsia="黑体"/>
          <w:sz w:val="30"/>
          <w:szCs w:val="30"/>
        </w:rPr>
        <w:t>、国有资产占用情况说明。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截止2020年12月31日，本部门</w:t>
      </w:r>
      <w:r>
        <w:rPr>
          <w:rFonts w:hint="eastAsia" w:ascii="仿宋" w:hAnsi="仿宋" w:eastAsia="仿宋"/>
          <w:kern w:val="0"/>
          <w:sz w:val="30"/>
          <w:szCs w:val="30"/>
          <w:lang w:eastAsia="zh-CN"/>
        </w:rPr>
        <w:t>（</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p>
    <w:p>
      <w:pPr>
        <w:ind w:firstLine="630"/>
        <w:jc w:val="left"/>
        <w:rPr>
          <w:rFonts w:hint="eastAsia" w:ascii="黑体" w:hAnsi="黑体" w:eastAsia="黑体"/>
          <w:sz w:val="30"/>
          <w:szCs w:val="30"/>
        </w:rPr>
      </w:pPr>
      <w:r>
        <w:rPr>
          <w:rFonts w:hint="eastAsia" w:ascii="黑体" w:hAnsi="黑体" w:eastAsia="黑体"/>
          <w:sz w:val="30"/>
          <w:szCs w:val="30"/>
          <w:lang w:eastAsia="zh-CN"/>
        </w:rPr>
        <w:t>九</w:t>
      </w:r>
      <w:r>
        <w:rPr>
          <w:rFonts w:hint="eastAsia" w:ascii="黑体" w:hAnsi="黑体" w:eastAsia="黑体"/>
          <w:sz w:val="30"/>
          <w:szCs w:val="30"/>
        </w:rPr>
        <w:t>、预算绩效情况说明</w:t>
      </w:r>
    </w:p>
    <w:p>
      <w:pPr>
        <w:widowControl/>
        <w:numPr>
          <w:ilvl w:val="0"/>
          <w:numId w:val="0"/>
        </w:numPr>
        <w:tabs>
          <w:tab w:val="left" w:pos="1360"/>
        </w:tabs>
        <w:spacing w:line="390" w:lineRule="atLeast"/>
        <w:ind w:firstLine="600" w:firstLineChars="2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（一）绩效管理工作开展情况</w:t>
      </w:r>
      <w:r>
        <w:rPr>
          <w:rFonts w:hint="eastAsia" w:ascii="仿宋" w:hAnsi="仿宋" w:eastAsia="仿宋" w:cs="仿宋_GB2312"/>
          <w:kern w:val="0"/>
          <w:sz w:val="30"/>
          <w:szCs w:val="30"/>
          <w:lang w:val="en-US" w:eastAsia="zh-CN"/>
        </w:rPr>
        <w:t xml:space="preserve"> </w:t>
      </w:r>
    </w:p>
    <w:p>
      <w:pPr>
        <w:widowControl/>
        <w:numPr>
          <w:ilvl w:val="0"/>
          <w:numId w:val="0"/>
        </w:numPr>
        <w:tabs>
          <w:tab w:val="left" w:pos="1360"/>
        </w:tabs>
        <w:spacing w:line="390" w:lineRule="atLeast"/>
        <w:ind w:firstLine="600" w:firstLineChars="2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rPr>
        <w:t>根据预算绩效管理要求，</w:t>
      </w:r>
      <w:r>
        <w:rPr>
          <w:rFonts w:hint="eastAsia" w:ascii="仿宋" w:hAnsi="仿宋" w:eastAsia="仿宋" w:cs="仿宋_GB2312"/>
          <w:kern w:val="0"/>
          <w:sz w:val="30"/>
          <w:szCs w:val="30"/>
          <w:lang w:eastAsia="zh-CN"/>
        </w:rPr>
        <w:t>由于</w:t>
      </w:r>
      <w:r>
        <w:rPr>
          <w:rFonts w:hint="eastAsia" w:ascii="仿宋" w:hAnsi="仿宋" w:eastAsia="仿宋" w:cs="仿宋_GB2312"/>
          <w:kern w:val="0"/>
          <w:sz w:val="30"/>
          <w:szCs w:val="30"/>
        </w:rPr>
        <w:t>我部门</w:t>
      </w:r>
      <w:r>
        <w:rPr>
          <w:rFonts w:hint="eastAsia" w:ascii="仿宋" w:hAnsi="仿宋" w:eastAsia="仿宋" w:cs="仿宋_GB2312"/>
          <w:kern w:val="0"/>
          <w:sz w:val="30"/>
          <w:szCs w:val="30"/>
          <w:lang w:val="en-US" w:eastAsia="zh-CN"/>
        </w:rPr>
        <w:t>2020年度</w:t>
      </w:r>
      <w:r>
        <w:rPr>
          <w:rFonts w:hint="eastAsia" w:ascii="仿宋" w:hAnsi="仿宋" w:eastAsia="仿宋" w:cs="仿宋_GB2312"/>
          <w:kern w:val="0"/>
          <w:sz w:val="30"/>
          <w:szCs w:val="30"/>
          <w:lang w:eastAsia="zh-CN"/>
        </w:rPr>
        <w:t>项目支出</w:t>
      </w:r>
      <w:r>
        <w:rPr>
          <w:rFonts w:hint="eastAsia" w:ascii="仿宋" w:hAnsi="仿宋" w:eastAsia="仿宋" w:cs="仿宋_GB2312"/>
          <w:kern w:val="0"/>
          <w:sz w:val="30"/>
          <w:szCs w:val="30"/>
          <w:lang w:val="en-US" w:eastAsia="zh-CN"/>
        </w:rPr>
        <w:t>18.08万元为财政收回款中的返还款开支，2020年度无市财政下拨的项目支出，故我部门2020年度一般公共预算项目支出无项目开展绩效自评，共涉及资金0万元，占一般公共预算项目支出总额的0%。</w:t>
      </w:r>
    </w:p>
    <w:p>
      <w:pPr>
        <w:widowControl/>
        <w:numPr>
          <w:ilvl w:val="0"/>
          <w:numId w:val="0"/>
        </w:numPr>
        <w:tabs>
          <w:tab w:val="left" w:pos="1360"/>
        </w:tabs>
        <w:spacing w:line="390" w:lineRule="atLeast"/>
        <w:ind w:firstLine="600" w:firstLineChars="200"/>
        <w:jc w:val="left"/>
        <w:rPr>
          <w:rFonts w:hint="eastAsia" w:ascii="仿宋" w:hAnsi="仿宋" w:eastAsia="仿宋" w:cs="仿宋"/>
          <w:color w:val="auto"/>
          <w:sz w:val="30"/>
          <w:szCs w:val="30"/>
          <w:lang w:val="en-US" w:eastAsia="zh-CN"/>
        </w:rPr>
      </w:pPr>
      <w:r>
        <w:rPr>
          <w:rFonts w:hint="eastAsia" w:ascii="仿宋" w:hAnsi="仿宋" w:eastAsia="仿宋" w:cs="仿宋_GB2312"/>
          <w:kern w:val="0"/>
          <w:sz w:val="30"/>
          <w:szCs w:val="30"/>
          <w:lang w:val="en-US" w:eastAsia="zh-CN"/>
        </w:rPr>
        <w:t>我部门</w:t>
      </w:r>
      <w:r>
        <w:rPr>
          <w:rFonts w:hint="eastAsia" w:ascii="仿宋" w:hAnsi="仿宋" w:eastAsia="仿宋" w:cs="仿宋_GB2312"/>
          <w:kern w:val="0"/>
          <w:sz w:val="30"/>
          <w:szCs w:val="30"/>
        </w:rPr>
        <w:t>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20年度开展</w:t>
      </w:r>
      <w:r>
        <w:rPr>
          <w:rFonts w:hint="eastAsia" w:ascii="仿宋" w:hAnsi="仿宋" w:eastAsia="仿宋" w:cs="仿宋_GB2312"/>
          <w:kern w:val="0"/>
          <w:sz w:val="30"/>
          <w:szCs w:val="30"/>
          <w:lang w:val="en-US" w:eastAsia="zh-CN"/>
        </w:rPr>
        <w:t>整体支出绩效评价</w:t>
      </w:r>
      <w:r>
        <w:rPr>
          <w:rFonts w:hint="eastAsia" w:ascii="仿宋" w:hAnsi="仿宋" w:eastAsia="仿宋" w:cs="仿宋_GB2312"/>
          <w:kern w:val="0"/>
          <w:sz w:val="30"/>
          <w:szCs w:val="30"/>
        </w:rPr>
        <w:t>，涉及一般公共预算支出</w:t>
      </w:r>
      <w:r>
        <w:rPr>
          <w:rFonts w:hint="eastAsia" w:ascii="仿宋" w:hAnsi="仿宋" w:eastAsia="仿宋" w:cs="仿宋_GB2312"/>
          <w:kern w:val="0"/>
          <w:sz w:val="30"/>
          <w:szCs w:val="30"/>
          <w:lang w:val="en-US" w:eastAsia="zh-CN"/>
        </w:rPr>
        <w:t>213.16</w:t>
      </w:r>
      <w:r>
        <w:rPr>
          <w:rFonts w:hint="eastAsia" w:ascii="仿宋" w:hAnsi="仿宋" w:eastAsia="仿宋" w:cs="仿宋_GB2312"/>
          <w:kern w:val="0"/>
          <w:sz w:val="30"/>
          <w:szCs w:val="30"/>
        </w:rPr>
        <w:t>万元。从评价情况来看，</w:t>
      </w:r>
      <w:r>
        <w:rPr>
          <w:rFonts w:hint="eastAsia" w:ascii="仿宋" w:hAnsi="仿宋" w:eastAsia="仿宋" w:cs="仿宋_GB2312"/>
          <w:kern w:val="0"/>
          <w:sz w:val="30"/>
          <w:szCs w:val="30"/>
          <w:lang w:eastAsia="zh-CN"/>
        </w:rPr>
        <w:t>对照部门整体支出绩效评价指标体系评分标准，部门得分</w:t>
      </w:r>
      <w:r>
        <w:rPr>
          <w:rFonts w:hint="eastAsia" w:ascii="仿宋" w:hAnsi="仿宋" w:eastAsia="仿宋" w:cs="仿宋_GB2312"/>
          <w:kern w:val="0"/>
          <w:sz w:val="30"/>
          <w:szCs w:val="30"/>
          <w:lang w:val="en-US" w:eastAsia="zh-CN"/>
        </w:rPr>
        <w:t>90分。按照工作目标要求，在对总体工作完成目标上，基本按年度计划完成了全年工作；在重点工作方面，紧紧围绕“安全优质播出”这个中心和重心，真抓实干，着力推进工作重点和难点，圆满完成了2020年安全播出任务</w:t>
      </w:r>
      <w:r>
        <w:rPr>
          <w:rFonts w:hint="eastAsia" w:ascii="仿宋" w:hAnsi="仿宋" w:eastAsia="仿宋" w:cs="仿宋"/>
          <w:kern w:val="0"/>
          <w:sz w:val="30"/>
          <w:szCs w:val="30"/>
          <w:lang w:val="en-US"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、始终坚持“高质量、不间断、既经济、又安全”的总方针，确保“满调幅、满功率、满时长”播出运行，全年广播累计播出时长超过</w:t>
      </w:r>
      <w:r>
        <w:rPr>
          <w:rFonts w:hint="eastAsia" w:ascii="仿宋" w:hAnsi="仿宋" w:eastAsia="仿宋" w:cs="仿宋"/>
          <w:sz w:val="30"/>
          <w:szCs w:val="30"/>
          <w:lang w:val="en-US" w:eastAsia="zh-CN"/>
        </w:rPr>
        <w:t>34000</w:t>
      </w:r>
      <w:r>
        <w:rPr>
          <w:rFonts w:hint="eastAsia" w:ascii="仿宋" w:hAnsi="仿宋" w:eastAsia="仿宋" w:cs="仿宋"/>
          <w:sz w:val="30"/>
          <w:szCs w:val="30"/>
          <w:lang w:eastAsia="zh-CN"/>
        </w:rPr>
        <w:t>小时，未发生过人为责任事故、技术事故和安全事故，圆满完成了</w:t>
      </w:r>
      <w:r>
        <w:rPr>
          <w:rFonts w:hint="eastAsia" w:ascii="仿宋" w:hAnsi="仿宋" w:eastAsia="仿宋" w:cs="仿宋"/>
          <w:sz w:val="30"/>
          <w:szCs w:val="30"/>
          <w:lang w:val="en-US" w:eastAsia="zh-CN"/>
        </w:rPr>
        <w:t>2020年安全</w:t>
      </w:r>
      <w:r>
        <w:rPr>
          <w:rFonts w:hint="eastAsia" w:ascii="仿宋" w:hAnsi="仿宋" w:eastAsia="仿宋" w:cs="仿宋"/>
          <w:sz w:val="30"/>
          <w:szCs w:val="30"/>
          <w:lang w:eastAsia="zh-CN"/>
        </w:rPr>
        <w:t>播出任务。</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先后开展了</w:t>
      </w:r>
      <w:r>
        <w:rPr>
          <w:rFonts w:hint="eastAsia" w:ascii="仿宋" w:hAnsi="仿宋" w:eastAsia="仿宋" w:cs="仿宋"/>
          <w:sz w:val="30"/>
          <w:szCs w:val="30"/>
          <w:lang w:eastAsia="zh-CN"/>
        </w:rPr>
        <w:t>火灾防控、</w:t>
      </w:r>
      <w:r>
        <w:rPr>
          <w:rFonts w:hint="eastAsia" w:ascii="仿宋" w:hAnsi="仿宋" w:eastAsia="仿宋" w:cs="仿宋"/>
          <w:sz w:val="30"/>
          <w:szCs w:val="30"/>
          <w:lang w:val="en-US" w:eastAsia="zh-CN"/>
        </w:rPr>
        <w:t>行业安全大检查、综治维稳专项整治、扫黑除恶专项斗争等工作，</w:t>
      </w:r>
      <w:r>
        <w:rPr>
          <w:rFonts w:hint="eastAsia" w:ascii="仿宋" w:hAnsi="仿宋" w:eastAsia="仿宋" w:cs="仿宋"/>
          <w:sz w:val="30"/>
          <w:szCs w:val="30"/>
          <w:lang w:eastAsia="zh-CN"/>
        </w:rPr>
        <w:t>组织了安全播出应急演练，召开了安全生产知识讲座，</w:t>
      </w:r>
      <w:r>
        <w:rPr>
          <w:rFonts w:hint="eastAsia" w:ascii="仿宋" w:hAnsi="仿宋" w:eastAsia="仿宋" w:cs="仿宋"/>
          <w:sz w:val="30"/>
          <w:szCs w:val="30"/>
          <w:lang w:val="en-US" w:eastAsia="zh-CN"/>
        </w:rPr>
        <w:t>全面保障综治维稳和安全生产工作。3</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制定了《培训实施细则》，对专业技术人员进行有针对性的培训；组织技术骨干到设备厂家进行实地考察，学习先进技术理论，更</w:t>
      </w:r>
      <w:r>
        <w:rPr>
          <w:rFonts w:hint="eastAsia" w:ascii="仿宋" w:hAnsi="仿宋" w:eastAsia="仿宋" w:cs="仿宋"/>
          <w:b w:val="0"/>
          <w:bCs w:val="0"/>
          <w:sz w:val="30"/>
          <w:szCs w:val="30"/>
          <w:lang w:val="en-US" w:eastAsia="zh-CN"/>
        </w:rPr>
        <w:t>新专业知识体系；制定《职称评定及岗位聘用工作规则》，推动单位</w:t>
      </w:r>
      <w:r>
        <w:rPr>
          <w:rFonts w:hint="eastAsia" w:ascii="仿宋" w:hAnsi="仿宋" w:eastAsia="仿宋" w:cs="仿宋"/>
          <w:sz w:val="30"/>
          <w:szCs w:val="30"/>
          <w:lang w:val="en-US" w:eastAsia="zh-CN"/>
        </w:rPr>
        <w:t>人才竞争的可持续发展。</w:t>
      </w:r>
      <w:r>
        <w:rPr>
          <w:rFonts w:hint="eastAsia" w:ascii="仿宋" w:hAnsi="仿宋" w:eastAsia="仿宋" w:cs="仿宋"/>
          <w:b w:val="0"/>
          <w:bCs/>
          <w:sz w:val="30"/>
          <w:szCs w:val="30"/>
          <w:lang w:val="en-US" w:eastAsia="zh-CN"/>
        </w:rPr>
        <w:t>4、成立了巡察整改工作领导小组，对标对表制定整改方案，狠抓整改落实。制定完善了《</w:t>
      </w:r>
      <w:r>
        <w:rPr>
          <w:rFonts w:hint="eastAsia" w:ascii="仿宋" w:hAnsi="仿宋" w:eastAsia="仿宋" w:cs="仿宋"/>
          <w:b w:val="0"/>
          <w:bCs/>
          <w:sz w:val="30"/>
          <w:szCs w:val="30"/>
          <w:lang w:eastAsia="zh-CN"/>
        </w:rPr>
        <w:t>“三重一大”事项集体决策制度</w:t>
      </w:r>
      <w:r>
        <w:rPr>
          <w:rFonts w:hint="eastAsia" w:ascii="仿宋" w:hAnsi="仿宋" w:eastAsia="仿宋" w:cs="仿宋"/>
          <w:b w:val="0"/>
          <w:bCs/>
          <w:sz w:val="30"/>
          <w:szCs w:val="30"/>
          <w:lang w:val="en-US" w:eastAsia="zh-CN"/>
        </w:rPr>
        <w:t>》、《财务会计制度》、《领导班子重大问题议事规则（试行）》等规章制度。</w:t>
      </w:r>
    </w:p>
    <w:p>
      <w:pPr>
        <w:widowControl/>
        <w:numPr>
          <w:ilvl w:val="0"/>
          <w:numId w:val="4"/>
        </w:numPr>
        <w:tabs>
          <w:tab w:val="left" w:pos="1360"/>
        </w:tabs>
        <w:spacing w:line="390" w:lineRule="atLeast"/>
        <w:ind w:firstLine="600" w:firstLineChars="2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部门决算中项目绩效自评结果</w:t>
      </w:r>
    </w:p>
    <w:p>
      <w:pPr>
        <w:widowControl/>
        <w:numPr>
          <w:ilvl w:val="0"/>
          <w:numId w:val="0"/>
        </w:numPr>
        <w:tabs>
          <w:tab w:val="left" w:pos="1360"/>
        </w:tabs>
        <w:spacing w:line="390" w:lineRule="atLeast"/>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 xml:space="preserve">     无。</w:t>
      </w:r>
    </w:p>
    <w:p>
      <w:pPr>
        <w:widowControl/>
        <w:numPr>
          <w:ilvl w:val="0"/>
          <w:numId w:val="5"/>
        </w:numPr>
        <w:tabs>
          <w:tab w:val="left" w:pos="1360"/>
        </w:tabs>
        <w:spacing w:line="390" w:lineRule="atLeast"/>
        <w:ind w:left="600" w:leftChars="0" w:firstLine="0" w:firstLineChars="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部门评价项目绩效评价结果</w:t>
      </w:r>
    </w:p>
    <w:p>
      <w:pPr>
        <w:widowControl/>
        <w:numPr>
          <w:ilvl w:val="0"/>
          <w:numId w:val="0"/>
        </w:numPr>
        <w:tabs>
          <w:tab w:val="left" w:pos="1360"/>
        </w:tabs>
        <w:spacing w:line="390" w:lineRule="atLeast"/>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 xml:space="preserve">      无。</w:t>
      </w:r>
    </w:p>
    <w:p>
      <w:pPr>
        <w:widowControl/>
        <w:numPr>
          <w:ilvl w:val="0"/>
          <w:numId w:val="0"/>
        </w:numPr>
        <w:tabs>
          <w:tab w:val="left" w:pos="1360"/>
        </w:tabs>
        <w:spacing w:line="390" w:lineRule="atLeast"/>
        <w:ind w:left="600" w:leftChars="0"/>
        <w:jc w:val="left"/>
        <w:rPr>
          <w:rFonts w:hint="default" w:ascii="仿宋" w:hAnsi="仿宋" w:eastAsia="仿宋" w:cs="仿宋_GB2312"/>
          <w:kern w:val="0"/>
          <w:sz w:val="30"/>
          <w:szCs w:val="30"/>
          <w:lang w:val="en-US" w:eastAsia="zh-CN"/>
        </w:rPr>
      </w:pPr>
    </w:p>
    <w:p>
      <w:pPr>
        <w:widowControl/>
        <w:spacing w:line="600" w:lineRule="exact"/>
        <w:ind w:firstLine="2570" w:firstLineChars="800"/>
        <w:jc w:val="both"/>
        <w:rPr>
          <w:rFonts w:hint="eastAsia" w:ascii="宋体" w:hAnsi="宋体"/>
          <w:b/>
          <w:sz w:val="32"/>
          <w:szCs w:val="32"/>
        </w:rPr>
      </w:pPr>
      <w:r>
        <w:rPr>
          <w:rFonts w:hint="eastAsia" w:ascii="宋体" w:hAnsi="宋体"/>
          <w:b/>
          <w:sz w:val="32"/>
          <w:szCs w:val="32"/>
        </w:rPr>
        <w:t>第四部分  名词解释</w:t>
      </w:r>
    </w:p>
    <w:p>
      <w:pPr>
        <w:numPr>
          <w:ilvl w:val="0"/>
          <w:numId w:val="0"/>
        </w:numPr>
        <w:ind w:firstLine="602" w:firstLineChars="200"/>
        <w:rPr>
          <w:rFonts w:hint="eastAsia" w:ascii="仿宋" w:hAnsi="仿宋" w:eastAsia="仿宋"/>
          <w:b/>
          <w:bCs/>
          <w:kern w:val="0"/>
          <w:sz w:val="30"/>
          <w:szCs w:val="30"/>
          <w:lang w:eastAsia="zh-CN"/>
        </w:rPr>
      </w:pPr>
      <w:r>
        <w:rPr>
          <w:rFonts w:hint="eastAsia" w:ascii="仿宋" w:hAnsi="仿宋" w:eastAsia="仿宋"/>
          <w:b/>
          <w:bCs/>
          <w:kern w:val="0"/>
          <w:sz w:val="30"/>
          <w:szCs w:val="30"/>
          <w:lang w:val="en-US" w:eastAsia="zh-CN"/>
        </w:rPr>
        <w:t xml:space="preserve">一、 </w:t>
      </w:r>
      <w:r>
        <w:rPr>
          <w:rFonts w:hint="eastAsia" w:ascii="仿宋" w:hAnsi="仿宋" w:eastAsia="仿宋"/>
          <w:b/>
          <w:bCs/>
          <w:kern w:val="0"/>
          <w:sz w:val="30"/>
          <w:szCs w:val="30"/>
          <w:lang w:eastAsia="zh-CN"/>
        </w:rPr>
        <w:t>收入科目</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（一）财政拨款收入：反映由市级财政拨款形成的部门收入。按现行管理制度，市本级部门预算中反映的财政拨款包括一般公共预算拨款和政府性基金预算拨款。</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（二）事业收入：反映事业单位开展专业业务活动及其辅助活动取得的收入。</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（三）事业单位经营收入：反映事业单位在专业业务活动及其辅助活动之外开展非独立核算的经营活动取得的收入。</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（四）附属单位上缴收入：反映事业单位附属独立核算单位按照有关规定上缴的收入。包括附属的事业单位上缴的收入和附属的企业上缴的利润等。</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（五）其他收入：反映除上述“财政拨款收和入”、“事业收入”、“事业单位经营收入”和“附属单位上缴收入”规定范围以外的各项收入。</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（六）上级补助收入：反映事业单位从主管部门和上级单位取得的非财政补助收入。</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七）用事业基金弥补收支差额：指事业单位在预计用当年“财政拨款收入”、“事业收入”、“事业单位经营收入”、“附属单位上缴收入”、“其他收入”不足以安排支出的情况下，使用以前年度积累的事业基金（事业单位当年收支相抵后按国家规定提取、用于弥补以后年度收支差额的基金）弥补本年度收支缺口的资金。</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（八）上年结转结余：反映上年全部结转和结余的资金数，包括当年结转结余和历年滚存结转结余资金。</w:t>
      </w:r>
    </w:p>
    <w:p>
      <w:pPr>
        <w:numPr>
          <w:ilvl w:val="0"/>
          <w:numId w:val="0"/>
        </w:numPr>
        <w:ind w:firstLine="301" w:firstLineChars="100"/>
        <w:rPr>
          <w:rFonts w:hint="eastAsia" w:ascii="仿宋" w:hAnsi="仿宋" w:eastAsia="仿宋"/>
          <w:b/>
          <w:bCs/>
          <w:kern w:val="0"/>
          <w:sz w:val="30"/>
          <w:szCs w:val="30"/>
          <w:lang w:val="en-US" w:eastAsia="zh-CN"/>
        </w:rPr>
      </w:pPr>
      <w:r>
        <w:rPr>
          <w:rFonts w:hint="eastAsia" w:ascii="仿宋" w:hAnsi="仿宋" w:eastAsia="仿宋"/>
          <w:b/>
          <w:bCs/>
          <w:kern w:val="0"/>
          <w:sz w:val="30"/>
          <w:szCs w:val="30"/>
          <w:lang w:val="en-US" w:eastAsia="zh-CN"/>
        </w:rPr>
        <w:t xml:space="preserve">  二、支出科目</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（一）广播电视：反映广播、电视等方面的支出。基本支出：指单位为了保障其正常运转、完成日常工作任务而发生的人员经费和公用经费。</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（二）项目支出：指单位为了完成特定工作任务和事业发展目标，在基本支出之外所发生的支出。</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（三）上缴上级支出：指事业单位按照财政部门和主管部门的规定上缴上级单位的支出。</w:t>
      </w:r>
    </w:p>
    <w:p>
      <w:pPr>
        <w:numPr>
          <w:ilvl w:val="0"/>
          <w:numId w:val="0"/>
        </w:numPr>
        <w:ind w:firstLine="300" w:firstLineChars="100"/>
        <w:rPr>
          <w:rFonts w:hint="eastAsia" w:ascii="仿宋" w:hAnsi="仿宋" w:eastAsia="仿宋"/>
          <w:kern w:val="0"/>
          <w:sz w:val="30"/>
          <w:szCs w:val="30"/>
          <w:lang w:val="en-US" w:eastAsia="zh-CN"/>
        </w:rPr>
      </w:pPr>
      <w:r>
        <w:rPr>
          <w:rFonts w:hint="eastAsia" w:ascii="仿宋" w:hAnsi="仿宋" w:eastAsia="仿宋"/>
          <w:kern w:val="0"/>
          <w:sz w:val="30"/>
          <w:szCs w:val="30"/>
          <w:lang w:val="en-US" w:eastAsia="zh-CN"/>
        </w:rPr>
        <w:t xml:space="preserve">   （四）事业单位经营支出：指事业单位在专业业务活动及其辅助活动之外开展非独立核算经营活动发生的支出。</w:t>
      </w:r>
    </w:p>
    <w:p>
      <w:pPr>
        <w:ind w:firstLine="602" w:firstLineChars="200"/>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三、主要支出功能分类科目</w:t>
      </w:r>
    </w:p>
    <w:p>
      <w:pPr>
        <w:ind w:firstLine="600"/>
        <w:rPr>
          <w:rFonts w:hint="eastAsia" w:ascii="仿宋" w:hAnsi="仿宋" w:eastAsia="仿宋"/>
          <w:sz w:val="30"/>
          <w:szCs w:val="30"/>
          <w:lang w:val="en-US" w:eastAsia="zh-CN"/>
        </w:rPr>
      </w:pPr>
      <w:r>
        <w:rPr>
          <w:rFonts w:hint="eastAsia" w:ascii="仿宋" w:hAnsi="仿宋" w:eastAsia="仿宋"/>
          <w:sz w:val="30"/>
          <w:szCs w:val="30"/>
          <w:lang w:val="en-US" w:eastAsia="zh-CN"/>
        </w:rPr>
        <w:t>（一）文化旅游体育与传媒支出（类）广播电视（款）广播（项）：反映广播电台、广播发射台、广播转播台及有线广播站的支出。</w:t>
      </w:r>
    </w:p>
    <w:p>
      <w:pPr>
        <w:ind w:firstLine="600"/>
        <w:rPr>
          <w:rFonts w:hint="eastAsia" w:ascii="仿宋" w:hAnsi="仿宋" w:eastAsia="仿宋"/>
          <w:sz w:val="30"/>
          <w:szCs w:val="30"/>
          <w:lang w:val="en-US" w:eastAsia="zh-CN"/>
        </w:rPr>
      </w:pPr>
      <w:r>
        <w:rPr>
          <w:rFonts w:hint="eastAsia" w:ascii="仿宋" w:hAnsi="仿宋" w:eastAsia="仿宋"/>
          <w:sz w:val="30"/>
          <w:szCs w:val="30"/>
          <w:lang w:val="en-US" w:eastAsia="zh-CN"/>
        </w:rPr>
        <w:t>（二）文化旅游体育与传媒支出（类）广播电视（款）电视（项）：反映电视台、电视发射台、电视转播台的支出。</w:t>
      </w:r>
    </w:p>
    <w:p>
      <w:pPr>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）社会保障和就业支出（类）行政事业单位</w:t>
      </w:r>
      <w:r>
        <w:rPr>
          <w:rFonts w:hint="eastAsia" w:ascii="仿宋_GB2312" w:eastAsia="仿宋_GB2312"/>
          <w:sz w:val="32"/>
          <w:szCs w:val="32"/>
          <w:lang w:eastAsia="zh-CN"/>
        </w:rPr>
        <w:t>养老支出</w:t>
      </w:r>
      <w:r>
        <w:rPr>
          <w:rFonts w:hint="eastAsia" w:ascii="仿宋_GB2312" w:eastAsia="仿宋_GB2312"/>
          <w:sz w:val="32"/>
          <w:szCs w:val="32"/>
        </w:rPr>
        <w:t>（款）机关事业单位基本养老保险缴费支出（项）：指机关事业单位实施养老保险制度由单位缴纳的基本养老保险费支出。</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rPr>
        <w:t>社会保障和就业支出（类）行政事业单位</w:t>
      </w:r>
      <w:r>
        <w:rPr>
          <w:rFonts w:hint="eastAsia" w:ascii="仿宋_GB2312" w:eastAsia="仿宋_GB2312"/>
          <w:sz w:val="32"/>
          <w:szCs w:val="32"/>
          <w:lang w:eastAsia="zh-CN"/>
        </w:rPr>
        <w:t>养老支出</w:t>
      </w:r>
      <w:r>
        <w:rPr>
          <w:rFonts w:hint="eastAsia" w:ascii="仿宋_GB2312" w:eastAsia="仿宋_GB2312"/>
          <w:sz w:val="32"/>
          <w:szCs w:val="32"/>
        </w:rPr>
        <w:t>（款）机关事业单位</w:t>
      </w:r>
      <w:r>
        <w:rPr>
          <w:rFonts w:hint="eastAsia" w:ascii="仿宋_GB2312" w:eastAsia="仿宋_GB2312"/>
          <w:sz w:val="32"/>
          <w:szCs w:val="32"/>
          <w:lang w:eastAsia="zh-CN"/>
        </w:rPr>
        <w:t>职业年金</w:t>
      </w:r>
      <w:r>
        <w:rPr>
          <w:rFonts w:hint="eastAsia" w:ascii="仿宋_GB2312" w:eastAsia="仿宋_GB2312"/>
          <w:sz w:val="32"/>
          <w:szCs w:val="32"/>
        </w:rPr>
        <w:t>缴费支出（项）：指机关事业单位实施养老保险制度由单位</w:t>
      </w:r>
      <w:r>
        <w:rPr>
          <w:rFonts w:hint="eastAsia" w:ascii="仿宋_GB2312" w:eastAsia="仿宋_GB2312"/>
          <w:sz w:val="32"/>
          <w:szCs w:val="32"/>
          <w:lang w:eastAsia="zh-CN"/>
        </w:rPr>
        <w:t>实际</w:t>
      </w:r>
      <w:r>
        <w:rPr>
          <w:rFonts w:hint="eastAsia" w:ascii="仿宋_GB2312" w:eastAsia="仿宋_GB2312"/>
          <w:sz w:val="32"/>
          <w:szCs w:val="32"/>
        </w:rPr>
        <w:t>缴纳的</w:t>
      </w:r>
      <w:r>
        <w:rPr>
          <w:rFonts w:hint="eastAsia" w:ascii="仿宋_GB2312" w:eastAsia="仿宋_GB2312"/>
          <w:sz w:val="32"/>
          <w:szCs w:val="32"/>
          <w:lang w:eastAsia="zh-CN"/>
        </w:rPr>
        <w:t>职业年金支</w:t>
      </w:r>
      <w:r>
        <w:rPr>
          <w:rFonts w:hint="eastAsia" w:ascii="仿宋_GB2312" w:eastAsia="仿宋_GB2312"/>
          <w:sz w:val="32"/>
          <w:szCs w:val="32"/>
        </w:rPr>
        <w:t>出。</w:t>
      </w:r>
    </w:p>
    <w:p>
      <w:pPr>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五</w:t>
      </w:r>
      <w:r>
        <w:rPr>
          <w:rFonts w:hint="eastAsia" w:ascii="仿宋_GB2312" w:eastAsia="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卫生健康支出（类）行政事业单位医疗（款）</w:t>
      </w:r>
      <w:r>
        <w:rPr>
          <w:rFonts w:hint="eastAsia" w:ascii="仿宋_GB2312" w:eastAsia="仿宋_GB2312"/>
          <w:sz w:val="32"/>
          <w:szCs w:val="32"/>
          <w:lang w:eastAsia="zh-CN"/>
        </w:rPr>
        <w:t>公务员医疗补助</w:t>
      </w:r>
      <w:r>
        <w:rPr>
          <w:rFonts w:hint="eastAsia" w:ascii="仿宋_GB2312" w:eastAsia="仿宋_GB2312"/>
          <w:sz w:val="32"/>
          <w:szCs w:val="32"/>
        </w:rPr>
        <w:t>（项）：反映财政部门安排的</w:t>
      </w:r>
      <w:r>
        <w:rPr>
          <w:rFonts w:hint="eastAsia" w:ascii="仿宋_GB2312" w:eastAsia="仿宋_GB2312"/>
          <w:sz w:val="32"/>
          <w:szCs w:val="32"/>
          <w:lang w:eastAsia="zh-CN"/>
        </w:rPr>
        <w:t>公务员医疗补助经费。</w:t>
      </w:r>
    </w:p>
    <w:p>
      <w:pPr>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七）</w:t>
      </w:r>
      <w:r>
        <w:rPr>
          <w:rFonts w:hint="eastAsia" w:ascii="仿宋_GB2312" w:eastAsia="仿宋_GB2312"/>
          <w:sz w:val="32"/>
          <w:szCs w:val="32"/>
        </w:rPr>
        <w:t>住房保障支出（类）住房改革支出（款）购房补贴（项）：指行政事业单位按人力资源和社会保障部、财政部规定的基本工资和津贴以及规定比例为职工缴纳的住房公积金。</w:t>
      </w:r>
    </w:p>
    <w:p>
      <w:pPr>
        <w:ind w:firstLine="643" w:firstLineChars="200"/>
        <w:rPr>
          <w:rFonts w:hint="eastAsia" w:ascii="仿宋_GB2312" w:eastAsia="仿宋_GB2312"/>
          <w:b/>
          <w:bCs/>
          <w:sz w:val="32"/>
          <w:szCs w:val="32"/>
        </w:rPr>
      </w:pPr>
      <w:r>
        <w:rPr>
          <w:rFonts w:hint="eastAsia" w:ascii="仿宋_GB2312" w:eastAsia="仿宋_GB2312"/>
          <w:b/>
          <w:bCs/>
          <w:sz w:val="32"/>
          <w:szCs w:val="32"/>
        </w:rPr>
        <w:t>四、机关运行经费</w:t>
      </w:r>
    </w:p>
    <w:p>
      <w:pPr>
        <w:ind w:firstLine="640" w:firstLineChars="200"/>
        <w:rPr>
          <w:rFonts w:hint="eastAsia" w:ascii="仿宋_GB2312" w:eastAsia="仿宋_GB2312"/>
          <w:sz w:val="32"/>
          <w:szCs w:val="32"/>
        </w:rPr>
      </w:pPr>
      <w:r>
        <w:rPr>
          <w:rFonts w:hint="eastAsia" w:ascii="仿宋_GB2312" w:eastAsia="仿宋_GB2312"/>
          <w:sz w:val="32"/>
          <w:szCs w:val="32"/>
        </w:rPr>
        <w:t>机关运行经费即指机关（含参公单位）各部门的公用经费，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rPr>
          <w:rFonts w:hint="eastAsia" w:ascii="仿宋" w:hAnsi="仿宋" w:eastAsia="仿宋"/>
          <w:b/>
          <w:sz w:val="32"/>
          <w:szCs w:val="32"/>
        </w:rPr>
      </w:pPr>
      <w:r>
        <w:rPr>
          <w:rFonts w:hint="eastAsia" w:ascii="仿宋" w:hAnsi="仿宋" w:eastAsia="仿宋"/>
          <w:b/>
          <w:sz w:val="32"/>
          <w:szCs w:val="32"/>
          <w:lang w:eastAsia="zh-CN"/>
        </w:rPr>
        <w:t>五</w:t>
      </w:r>
      <w:r>
        <w:rPr>
          <w:rFonts w:hint="eastAsia" w:ascii="仿宋" w:hAnsi="仿宋" w:eastAsia="仿宋"/>
          <w:b/>
          <w:sz w:val="32"/>
          <w:szCs w:val="32"/>
        </w:rPr>
        <w:t>、“三公”经费</w:t>
      </w:r>
    </w:p>
    <w:p>
      <w:pPr>
        <w:rPr>
          <w:rFonts w:ascii="仿宋" w:hAnsi="仿宋" w:eastAsia="仿宋"/>
          <w:sz w:val="30"/>
          <w:szCs w:val="30"/>
        </w:rPr>
      </w:pPr>
      <w:r>
        <w:rPr>
          <w:rFonts w:hint="eastAsia" w:ascii="仿宋" w:hAnsi="仿宋" w:eastAsia="仿宋"/>
          <w:sz w:val="30"/>
          <w:szCs w:val="30"/>
          <w:lang w:val="en-US" w:eastAsia="zh-CN"/>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 支出。</w:t>
      </w:r>
      <w:r>
        <w:rPr>
          <w:rFonts w:hint="eastAsia" w:ascii="仿宋" w:hAnsi="仿宋" w:eastAsia="仿宋"/>
          <w:sz w:val="30"/>
          <w:szCs w:val="30"/>
        </w:rPr>
        <w:t xml:space="preserve"> </w:t>
      </w:r>
    </w:p>
    <w:p>
      <w:pPr>
        <w:bidi w:val="0"/>
        <w:ind w:firstLine="576" w:firstLineChars="0"/>
        <w:jc w:val="left"/>
        <w:rPr>
          <w:lang w:val="en-US" w:eastAsia="zh-CN"/>
        </w:rPr>
      </w:pPr>
    </w:p>
    <w:sectPr>
      <w:pgSz w:w="11906" w:h="16838"/>
      <w:pgMar w:top="1440" w:right="1803" w:bottom="1440" w:left="180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BE4442"/>
    <w:multiLevelType w:val="singleLevel"/>
    <w:tmpl w:val="B6BE4442"/>
    <w:lvl w:ilvl="0" w:tentative="0">
      <w:start w:val="3"/>
      <w:numFmt w:val="chineseCounting"/>
      <w:suff w:val="nothing"/>
      <w:lvlText w:val="（%1）"/>
      <w:lvlJc w:val="left"/>
      <w:pPr>
        <w:ind w:left="600" w:firstLine="0"/>
      </w:pPr>
      <w:rPr>
        <w:rFonts w:hint="eastAsia"/>
      </w:rPr>
    </w:lvl>
  </w:abstractNum>
  <w:abstractNum w:abstractNumId="1">
    <w:nsid w:val="CEF1AB64"/>
    <w:multiLevelType w:val="singleLevel"/>
    <w:tmpl w:val="CEF1AB64"/>
    <w:lvl w:ilvl="0" w:tentative="0">
      <w:start w:val="8"/>
      <w:numFmt w:val="chineseCounting"/>
      <w:suff w:val="nothing"/>
      <w:lvlText w:val="%1、"/>
      <w:lvlJc w:val="left"/>
      <w:pPr>
        <w:ind w:left="1280" w:firstLine="0"/>
      </w:pPr>
      <w:rPr>
        <w:rFonts w:hint="eastAsia"/>
      </w:rPr>
    </w:lvl>
  </w:abstractNum>
  <w:abstractNum w:abstractNumId="2">
    <w:nsid w:val="F6F126AF"/>
    <w:multiLevelType w:val="singleLevel"/>
    <w:tmpl w:val="F6F126AF"/>
    <w:lvl w:ilvl="0" w:tentative="0">
      <w:start w:val="2"/>
      <w:numFmt w:val="chineseCounting"/>
      <w:suff w:val="nothing"/>
      <w:lvlText w:val="(%1）"/>
      <w:lvlJc w:val="left"/>
      <w:rPr>
        <w:rFonts w:hint="eastAsia"/>
      </w:rPr>
    </w:lvl>
  </w:abstractNum>
  <w:abstractNum w:abstractNumId="3">
    <w:nsid w:val="02197F7D"/>
    <w:multiLevelType w:val="singleLevel"/>
    <w:tmpl w:val="02197F7D"/>
    <w:lvl w:ilvl="0" w:tentative="0">
      <w:start w:val="1"/>
      <w:numFmt w:val="chineseCounting"/>
      <w:suff w:val="nothing"/>
      <w:lvlText w:val="%1、"/>
      <w:lvlJc w:val="left"/>
      <w:rPr>
        <w:rFonts w:hint="eastAsia"/>
      </w:rPr>
    </w:lvl>
  </w:abstractNum>
  <w:abstractNum w:abstractNumId="4">
    <w:nsid w:val="31938F67"/>
    <w:multiLevelType w:val="singleLevel"/>
    <w:tmpl w:val="31938F67"/>
    <w:lvl w:ilvl="0" w:tentative="0">
      <w:start w:val="2"/>
      <w:numFmt w:val="chineseCounting"/>
      <w:suff w:val="space"/>
      <w:lvlText w:val="第%1部分"/>
      <w:lvlJc w:val="left"/>
      <w:rPr>
        <w:rFonts w:hint="eastAsia"/>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wM2Y3YTQwNTUyMTg3MDJiY2ZmNDQ2OTc2YzExNDUifQ=="/>
  </w:docVars>
  <w:rsids>
    <w:rsidRoot w:val="00172A27"/>
    <w:rsid w:val="07896682"/>
    <w:rsid w:val="0A366538"/>
    <w:rsid w:val="0EFB3964"/>
    <w:rsid w:val="0F6D6416"/>
    <w:rsid w:val="171D0D9E"/>
    <w:rsid w:val="1DA30D8D"/>
    <w:rsid w:val="1F076BF1"/>
    <w:rsid w:val="1FEA7E82"/>
    <w:rsid w:val="210112AE"/>
    <w:rsid w:val="21416406"/>
    <w:rsid w:val="2E690493"/>
    <w:rsid w:val="33FA4CF3"/>
    <w:rsid w:val="345E3ECA"/>
    <w:rsid w:val="418271D4"/>
    <w:rsid w:val="429772BA"/>
    <w:rsid w:val="46DD5122"/>
    <w:rsid w:val="4B752AFC"/>
    <w:rsid w:val="4F3D0863"/>
    <w:rsid w:val="50836D3A"/>
    <w:rsid w:val="552A4C00"/>
    <w:rsid w:val="564D4B8E"/>
    <w:rsid w:val="59F66A18"/>
    <w:rsid w:val="5FFD692B"/>
    <w:rsid w:val="64D86EAB"/>
    <w:rsid w:val="66947B5E"/>
    <w:rsid w:val="69480EB4"/>
    <w:rsid w:val="6A947233"/>
    <w:rsid w:val="6C641EE8"/>
    <w:rsid w:val="6F5E010F"/>
    <w:rsid w:val="7252014D"/>
    <w:rsid w:val="7A1354B8"/>
    <w:rsid w:val="7D5048F1"/>
    <w:rsid w:val="7F0C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8615</Words>
  <Characters>11608</Characters>
  <Lines>0</Lines>
  <Paragraphs>0</Paragraphs>
  <TotalTime>11</TotalTime>
  <ScaleCrop>false</ScaleCrop>
  <LinksUpToDate>false</LinksUpToDate>
  <CharactersWithSpaces>12162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2021-09-24T07:07:00Z</dcterms:created>
  <dc:creator>asus</dc:creator>
  <cp:lastModifiedBy>舛</cp:lastModifiedBy>
  <cp:lastPrinted>2022-08-31T06:03:00Z</cp:lastPrinted>
  <dcterms:modified xsi:type="dcterms:W3CDTF">2022-09-01T07:14:48Z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236392177DD0458CBB0DAEFB7D369CE1</vt:lpwstr>
  </property>
</Properties>
</file>