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60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lang w:eastAsia="zh-CN"/>
        </w:rPr>
        <w:t>此表为空</w:t>
      </w:r>
      <w:r>
        <w:rPr>
          <w:rFonts w:hint="eastAsia" w:ascii="方正小标宋_GBK" w:hAnsi="方正小标宋_GBK" w:eastAsia="方正小标宋_GBK" w:cs="方正小标宋_GBK"/>
          <w:b w:val="0"/>
          <w:bCs w:val="0"/>
        </w:rPr>
        <w:t>赣州市城乡规划局南康分局单位</w:t>
      </w:r>
    </w:p>
    <w:p>
      <w:pPr>
        <w:pStyle w:val="3"/>
        <w:keepNext/>
        <w:keepLines/>
        <w:pageBreakBefore w:val="0"/>
        <w:widowControl w:val="0"/>
        <w:kinsoku/>
        <w:wordWrap/>
        <w:overflowPunct/>
        <w:topLinePunct w:val="0"/>
        <w:autoSpaceDE/>
        <w:autoSpaceDN/>
        <w:bidi w:val="0"/>
        <w:adjustRightInd/>
        <w:snapToGrid/>
        <w:spacing w:before="0" w:after="0" w:line="600" w:lineRule="exact"/>
        <w:ind w:right="0" w:rightChars="0"/>
        <w:jc w:val="center"/>
        <w:textAlignment w:val="auto"/>
        <w:rPr>
          <w:rFonts w:hint="eastAsia" w:ascii="方正小标宋_GBK" w:hAnsi="方正小标宋_GBK" w:eastAsia="方正小标宋_GBK" w:cs="方正小标宋_GBK"/>
          <w:b w:val="0"/>
          <w:bCs w:val="0"/>
        </w:rPr>
      </w:pPr>
      <w:r>
        <w:rPr>
          <w:rFonts w:hint="eastAsia" w:ascii="方正小标宋_GBK" w:hAnsi="方正小标宋_GBK" w:eastAsia="方正小标宋_GBK" w:cs="方正小标宋_GBK"/>
          <w:b w:val="0"/>
          <w:bCs w:val="0"/>
          <w:lang w:eastAsia="zh-CN"/>
        </w:rPr>
        <w:t>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7"/>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第一部分  赣州市城乡规划局南康分局概况</w:t>
      </w:r>
      <w:r>
        <w:rPr>
          <w:rFonts w:ascii="仿宋_GB2312" w:eastAsia="仿宋_GB2312"/>
          <w:b/>
          <w:bCs/>
          <w:color w:val="000000"/>
          <w:sz w:val="32"/>
          <w:szCs w:val="32"/>
        </w:rPr>
        <w:tab/>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第二部分  赣州市城乡规划局南康分局</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7"/>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w w:val="95"/>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w w:val="95"/>
          <w:sz w:val="32"/>
          <w:szCs w:val="32"/>
        </w:rPr>
        <w:t>赣州市城乡规划局南康分局</w:t>
      </w:r>
      <w:r>
        <w:rPr>
          <w:rFonts w:hint="eastAsia" w:ascii="仿宋_GB2312" w:eastAsia="仿宋_GB2312"/>
          <w:b/>
          <w:bCs/>
          <w:color w:val="000000"/>
          <w:w w:val="95"/>
          <w:sz w:val="32"/>
          <w:szCs w:val="32"/>
          <w:lang w:eastAsia="zh-CN"/>
        </w:rPr>
        <w:t>2021</w:t>
      </w:r>
      <w:r>
        <w:rPr>
          <w:rFonts w:hint="eastAsia" w:ascii="仿宋_GB2312" w:eastAsia="仿宋_GB2312"/>
          <w:b/>
          <w:bCs/>
          <w:color w:val="000000"/>
          <w:w w:val="95"/>
          <w:sz w:val="32"/>
          <w:szCs w:val="32"/>
        </w:rPr>
        <w:t>年部门预算情况说明</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7"/>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7"/>
        <w:keepNext w:val="0"/>
        <w:keepLines w:val="0"/>
        <w:pageBreakBefore w:val="0"/>
        <w:widowControl/>
        <w:numPr>
          <w:ilvl w:val="0"/>
          <w:numId w:val="1"/>
        </w:numPr>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hint="eastAsia" w:ascii="仿宋_GB2312" w:eastAsia="仿宋_GB2312"/>
          <w:b/>
          <w:bCs/>
          <w:color w:val="000000"/>
          <w:sz w:val="32"/>
          <w:szCs w:val="32"/>
        </w:rPr>
      </w:pPr>
      <w:r>
        <w:rPr>
          <w:rFonts w:hint="eastAsia" w:ascii="仿宋_GB2312" w:eastAsia="仿宋_GB2312"/>
          <w:b/>
          <w:bCs/>
          <w:color w:val="000000"/>
          <w:sz w:val="32"/>
          <w:szCs w:val="32"/>
        </w:rPr>
        <w:t xml:space="preserve"> 名词解释</w:t>
      </w:r>
    </w:p>
    <w:p>
      <w:pPr>
        <w:pageBreakBefore w:val="0"/>
        <w:widowControl/>
        <w:numPr>
          <w:ilvl w:val="0"/>
          <w:numId w:val="2"/>
        </w:numPr>
        <w:kinsoku/>
        <w:wordWrap/>
        <w:overflowPunct/>
        <w:topLinePunct w:val="0"/>
        <w:autoSpaceDE/>
        <w:autoSpaceDN/>
        <w:bidi w:val="0"/>
        <w:adjustRightInd/>
        <w:snapToGrid/>
        <w:spacing w:line="540" w:lineRule="exact"/>
        <w:ind w:right="0" w:rightChars="0"/>
        <w:jc w:val="center"/>
        <w:textAlignment w:val="auto"/>
        <w:rPr>
          <w:rFonts w:hint="eastAsia" w:ascii="仿宋_GB2312" w:eastAsia="仿宋_GB2312"/>
          <w:b/>
          <w:bCs/>
          <w:color w:val="000000"/>
          <w:sz w:val="32"/>
          <w:szCs w:val="32"/>
        </w:rPr>
      </w:pPr>
      <w:r>
        <w:rPr>
          <w:rFonts w:hint="eastAsia" w:ascii="仿宋_GB2312" w:eastAsia="仿宋_GB2312"/>
          <w:b/>
          <w:bCs/>
          <w:color w:val="000000"/>
          <w:sz w:val="32"/>
          <w:szCs w:val="32"/>
        </w:rPr>
        <w:t xml:space="preserve"> 赣州市城乡规划局南康分局概况</w:t>
      </w:r>
    </w:p>
    <w:p>
      <w:pPr>
        <w:pageBreakBefore w:val="0"/>
        <w:widowControl/>
        <w:numPr>
          <w:ilvl w:val="0"/>
          <w:numId w:val="0"/>
        </w:numPr>
        <w:kinsoku/>
        <w:wordWrap/>
        <w:overflowPunct/>
        <w:topLinePunct w:val="0"/>
        <w:autoSpaceDE/>
        <w:autoSpaceDN/>
        <w:bidi w:val="0"/>
        <w:adjustRightInd/>
        <w:snapToGrid/>
        <w:spacing w:line="540" w:lineRule="exact"/>
        <w:ind w:right="0" w:rightChars="0"/>
        <w:jc w:val="both"/>
        <w:textAlignment w:val="auto"/>
        <w:rPr>
          <w:rFonts w:hint="eastAsia" w:ascii="仿宋_GB2312" w:eastAsia="仿宋_GB2312"/>
          <w:b/>
          <w:bCs/>
          <w:color w:val="000000"/>
          <w:sz w:val="32"/>
          <w:szCs w:val="32"/>
        </w:rPr>
      </w:pP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一、部门主要职责</w:t>
      </w:r>
    </w:p>
    <w:p>
      <w:pPr>
        <w:keepNext w:val="0"/>
        <w:keepLines w:val="0"/>
        <w:pageBreakBefore w:val="0"/>
        <w:widowControl w:val="0"/>
        <w:kinsoku/>
        <w:wordWrap/>
        <w:overflowPunct/>
        <w:topLinePunct w:val="0"/>
        <w:autoSpaceDE/>
        <w:autoSpaceDN/>
        <w:bidi w:val="0"/>
        <w:adjustRightInd w:val="0"/>
        <w:snapToGrid w:val="0"/>
        <w:spacing w:line="700" w:lineRule="exact"/>
        <w:ind w:firstLine="640" w:firstLineChars="200"/>
        <w:textAlignment w:val="auto"/>
        <w:rPr>
          <w:rFonts w:hint="eastAsia" w:ascii="仿宋_GB2312" w:eastAsia="仿宋_GB2312"/>
          <w:sz w:val="32"/>
          <w:szCs w:val="32"/>
        </w:rPr>
      </w:pPr>
      <w:r>
        <w:rPr>
          <w:rFonts w:hint="eastAsia" w:ascii="仿宋_GB2312" w:hAnsi="宋体" w:eastAsia="仿宋_GB2312" w:cs="??_GB2312"/>
          <w:bCs/>
          <w:color w:val="000000"/>
          <w:sz w:val="32"/>
          <w:szCs w:val="32"/>
        </w:rPr>
        <w:t>根据《关于调整赣州市自然资源局派出机构职责机构编制事项的通知》（赣市</w:t>
      </w:r>
      <w:r>
        <w:rPr>
          <w:rFonts w:hint="eastAsia" w:ascii="仿宋_GB2312" w:hAnsi="宋体" w:eastAsia="仿宋_GB2312" w:cs="??_GB2312"/>
          <w:bCs/>
          <w:color w:val="000000"/>
          <w:sz w:val="32"/>
          <w:szCs w:val="32"/>
          <w:lang w:val="en-US" w:eastAsia="zh-CN"/>
        </w:rPr>
        <w:t>编办</w:t>
      </w:r>
      <w:r>
        <w:rPr>
          <w:rFonts w:ascii="仿宋_GB2312" w:hAnsi="宋体" w:eastAsia="仿宋_GB2312" w:cs="??_GB2312"/>
          <w:bCs/>
          <w:color w:val="000000"/>
          <w:sz w:val="32"/>
          <w:szCs w:val="32"/>
        </w:rPr>
        <w:t>[201</w:t>
      </w:r>
      <w:r>
        <w:rPr>
          <w:rFonts w:hint="eastAsia" w:ascii="仿宋_GB2312" w:hAnsi="宋体" w:eastAsia="仿宋_GB2312" w:cs="??_GB2312"/>
          <w:bCs/>
          <w:color w:val="000000"/>
          <w:sz w:val="32"/>
          <w:szCs w:val="32"/>
          <w:lang w:val="en-US" w:eastAsia="zh-CN"/>
        </w:rPr>
        <w:t>9</w:t>
      </w:r>
      <w:r>
        <w:rPr>
          <w:rFonts w:ascii="仿宋_GB2312" w:hAnsi="宋体" w:eastAsia="仿宋_GB2312" w:cs="??_GB2312"/>
          <w:bCs/>
          <w:color w:val="000000"/>
          <w:sz w:val="32"/>
          <w:szCs w:val="32"/>
        </w:rPr>
        <w:t>]</w:t>
      </w:r>
      <w:r>
        <w:rPr>
          <w:rFonts w:hint="eastAsia" w:ascii="仿宋_GB2312" w:hAnsi="宋体" w:eastAsia="仿宋_GB2312" w:cs="??_GB2312"/>
          <w:bCs/>
          <w:color w:val="000000"/>
          <w:sz w:val="32"/>
          <w:szCs w:val="32"/>
          <w:lang w:val="en-US" w:eastAsia="zh-CN"/>
        </w:rPr>
        <w:t>28</w:t>
      </w:r>
      <w:r>
        <w:rPr>
          <w:rFonts w:hint="eastAsia" w:ascii="仿宋_GB2312" w:hAnsi="宋体" w:eastAsia="仿宋_GB2312" w:cs="??_GB2312"/>
          <w:bCs/>
          <w:color w:val="000000"/>
          <w:sz w:val="32"/>
          <w:szCs w:val="32"/>
        </w:rPr>
        <w:t>号）文件精神，</w:t>
      </w:r>
      <w:r>
        <w:rPr>
          <w:rFonts w:hint="eastAsia" w:ascii="仿宋_GB2312" w:hAnsi="宋体" w:eastAsia="仿宋_GB2312" w:cs="??_GB2312"/>
          <w:bCs/>
          <w:color w:val="000000"/>
          <w:sz w:val="32"/>
          <w:szCs w:val="32"/>
          <w:lang w:val="en-US" w:eastAsia="zh-CN"/>
        </w:rPr>
        <w:t>赣州市自然资源局南康分局</w:t>
      </w:r>
      <w:r>
        <w:rPr>
          <w:rFonts w:hint="eastAsia" w:ascii="仿宋_GB2312" w:hAnsi="宋体" w:eastAsia="仿宋_GB2312" w:cs="??_GB2312"/>
          <w:bCs/>
          <w:color w:val="000000"/>
          <w:sz w:val="32"/>
          <w:szCs w:val="32"/>
        </w:rPr>
        <w:t>是赣州市</w:t>
      </w:r>
      <w:r>
        <w:rPr>
          <w:rFonts w:hint="eastAsia" w:ascii="仿宋_GB2312" w:hAnsi="宋体" w:eastAsia="仿宋_GB2312" w:cs="??_GB2312"/>
          <w:bCs/>
          <w:color w:val="000000"/>
          <w:sz w:val="32"/>
          <w:szCs w:val="32"/>
          <w:lang w:val="en-US" w:eastAsia="zh-CN"/>
        </w:rPr>
        <w:t>自然资源</w:t>
      </w:r>
      <w:r>
        <w:rPr>
          <w:rFonts w:hint="eastAsia" w:ascii="仿宋_GB2312" w:hAnsi="宋体" w:eastAsia="仿宋_GB2312" w:cs="??_GB2312"/>
          <w:bCs/>
          <w:color w:val="000000"/>
          <w:sz w:val="32"/>
          <w:szCs w:val="32"/>
        </w:rPr>
        <w:t>局下属正科级</w:t>
      </w:r>
      <w:r>
        <w:rPr>
          <w:rFonts w:hint="eastAsia" w:ascii="仿宋_GB2312" w:hAnsi="宋体" w:eastAsia="仿宋_GB2312" w:cs="??_GB2312"/>
          <w:bCs/>
          <w:color w:val="000000"/>
          <w:sz w:val="32"/>
          <w:szCs w:val="32"/>
          <w:lang w:val="en-US" w:eastAsia="zh-CN"/>
        </w:rPr>
        <w:t>派出机构</w:t>
      </w:r>
      <w:r>
        <w:rPr>
          <w:rFonts w:hint="eastAsia" w:ascii="仿宋_GB2312" w:hAnsi="宋体" w:eastAsia="仿宋_GB2312" w:cs="??_GB2312"/>
          <w:bCs/>
          <w:color w:val="000000"/>
          <w:sz w:val="32"/>
          <w:szCs w:val="32"/>
        </w:rPr>
        <w:t>。</w:t>
      </w:r>
      <w:r>
        <w:rPr>
          <w:rFonts w:hint="eastAsia" w:ascii="仿宋_GB2312" w:hAnsi="宋体" w:eastAsia="仿宋_GB2312" w:cs="??_GB2312"/>
          <w:bCs/>
          <w:color w:val="000000"/>
          <w:sz w:val="32"/>
          <w:szCs w:val="32"/>
          <w:lang w:eastAsia="zh-CN"/>
        </w:rPr>
        <w:t>本部门</w:t>
      </w:r>
      <w:r>
        <w:rPr>
          <w:rFonts w:hint="eastAsia" w:ascii="仿宋_GB2312" w:eastAsia="仿宋_GB2312"/>
          <w:sz w:val="32"/>
          <w:szCs w:val="32"/>
        </w:rPr>
        <w:t>主要职责是：</w:t>
      </w:r>
    </w:p>
    <w:p>
      <w:pPr>
        <w:keepNext w:val="0"/>
        <w:keepLines w:val="0"/>
        <w:pageBreakBefore w:val="0"/>
        <w:widowControl w:val="0"/>
        <w:kinsoku/>
        <w:wordWrap/>
        <w:overflowPunct/>
        <w:topLinePunct w:val="0"/>
        <w:autoSpaceDE/>
        <w:autoSpaceDN/>
        <w:bidi w:val="0"/>
        <w:adjustRightInd w:val="0"/>
        <w:snapToGrid w:val="0"/>
        <w:spacing w:line="7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受市局委托负责辖区内自然资源管理工作。贯彻执行自然资源管理方针、政策和法律法规；履行全民所有土地、矿产、森林、草地、湿地、水等自然资源资产所有者职责及所有国土空间用途管制和生态修复职责；负责辖区内自然资源调查监测评价、统一确权登记、资产有偿使用及合理开发利用工作；提出区域内的年度土地储备、土地供应计划和项目供地初步方案；在授权委托的权限范围内，负责规划条件的审核，经营性用地的规划条件初审，建设项目建设方案的审定或初审，建设工程规划许可审批等城乡规划工作；负责统筹国土空间和自然资源生态修复、组织实施最严格的耕地保护制度、管理地质勘查行业和全区地质工作、落实综合防灾减灾规划相关要求、矿产资源管理及测绘地理信息管理工作；负责辖区内村庄规划；配合市局开展辖区内自然资源规划编制工作，负责组织自然资源行政执法工作；负责管理辖区内自然资源基层单位工作；承办市自然资源局和地方党委政府交办的其他事项。</w:t>
      </w:r>
    </w:p>
    <w:p>
      <w:pPr>
        <w:widowControl/>
        <w:spacing w:line="580" w:lineRule="exact"/>
        <w:ind w:firstLine="643" w:firstLineChars="200"/>
        <w:jc w:val="left"/>
        <w:rPr>
          <w:rFonts w:hint="eastAsia" w:ascii="楷体_GB2312" w:eastAsia="楷体_GB2312"/>
          <w:b/>
          <w:sz w:val="32"/>
          <w:szCs w:val="30"/>
        </w:rPr>
      </w:pPr>
      <w:r>
        <w:rPr>
          <w:rFonts w:hint="eastAsia" w:ascii="楷体_GB2312" w:eastAsia="楷体_GB2312"/>
          <w:b/>
          <w:sz w:val="32"/>
          <w:szCs w:val="30"/>
        </w:rPr>
        <w:t>二、机构设置及人员情况</w:t>
      </w:r>
    </w:p>
    <w:p>
      <w:pPr>
        <w:ind w:firstLine="640" w:firstLineChars="200"/>
        <w:rPr>
          <w:rFonts w:ascii="仿宋" w:hAnsi="仿宋" w:eastAsia="仿宋"/>
          <w:color w:val="auto"/>
          <w:sz w:val="32"/>
          <w:szCs w:val="32"/>
        </w:rPr>
      </w:pPr>
      <w:r>
        <w:rPr>
          <w:rFonts w:hint="eastAsia" w:ascii="仿宋" w:hAnsi="仿宋" w:eastAsia="仿宋"/>
          <w:color w:val="auto"/>
          <w:sz w:val="32"/>
          <w:szCs w:val="32"/>
          <w:lang w:eastAsia="zh-CN"/>
        </w:rPr>
        <w:t>2021</w:t>
      </w:r>
      <w:r>
        <w:rPr>
          <w:rFonts w:hint="eastAsia" w:ascii="仿宋" w:hAnsi="仿宋" w:eastAsia="仿宋"/>
          <w:color w:val="auto"/>
          <w:sz w:val="32"/>
          <w:szCs w:val="32"/>
        </w:rPr>
        <w:t>年赣州市城乡规划局南康分局共有预算单位</w:t>
      </w:r>
      <w:r>
        <w:rPr>
          <w:rFonts w:hint="eastAsia" w:ascii="仿宋" w:hAnsi="仿宋" w:eastAsia="仿宋" w:cs="Times New Roman"/>
          <w:color w:val="auto"/>
          <w:kern w:val="0"/>
          <w:sz w:val="32"/>
          <w:szCs w:val="32"/>
          <w:lang w:val="en-US" w:eastAsia="zh-CN"/>
        </w:rPr>
        <w:t>1</w:t>
      </w:r>
      <w:r>
        <w:rPr>
          <w:rFonts w:ascii="仿宋" w:hAnsi="仿宋" w:eastAsia="仿宋"/>
          <w:color w:val="auto"/>
          <w:sz w:val="32"/>
          <w:szCs w:val="32"/>
        </w:rPr>
        <w:t>个，包括</w:t>
      </w:r>
      <w:r>
        <w:rPr>
          <w:rFonts w:hint="eastAsia" w:ascii="仿宋" w:hAnsi="仿宋" w:eastAsia="仿宋"/>
          <w:color w:val="auto"/>
          <w:sz w:val="32"/>
          <w:szCs w:val="32"/>
        </w:rPr>
        <w:t>：赣州市城乡规划局南康分局</w:t>
      </w:r>
      <w:r>
        <w:rPr>
          <w:rFonts w:hint="eastAsia" w:ascii="仿宋" w:hAnsi="仿宋" w:eastAsia="仿宋"/>
          <w:color w:val="auto"/>
          <w:sz w:val="32"/>
          <w:szCs w:val="32"/>
          <w:lang w:val="en-US" w:eastAsia="zh-CN"/>
        </w:rPr>
        <w:t>单位</w:t>
      </w:r>
      <w:r>
        <w:rPr>
          <w:rFonts w:hint="eastAsia" w:ascii="仿宋" w:hAnsi="仿宋" w:eastAsia="仿宋"/>
          <w:color w:val="auto"/>
          <w:sz w:val="32"/>
          <w:szCs w:val="32"/>
        </w:rPr>
        <w:t>。</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第二部分  赣州市城乡规划局南康分局</w:t>
      </w:r>
      <w:r>
        <w:rPr>
          <w:rFonts w:hint="eastAsia" w:ascii="仿宋_GB2312" w:eastAsia="仿宋_GB2312"/>
          <w:b/>
          <w:sz w:val="32"/>
          <w:szCs w:val="30"/>
          <w:lang w:eastAsia="zh-CN"/>
        </w:rPr>
        <w:t>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8"/>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赣州市城乡规划局南康分局</w:t>
      </w:r>
      <w:r>
        <w:rPr>
          <w:rFonts w:hint="eastAsia" w:ascii="仿宋_GB2312" w:eastAsia="仿宋_GB2312"/>
          <w:b/>
          <w:sz w:val="32"/>
          <w:szCs w:val="30"/>
          <w:lang w:eastAsia="zh-CN"/>
        </w:rPr>
        <w:t>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rPr>
          <w:rStyle w:val="8"/>
          <w:rFonts w:hint="eastAsia" w:ascii="仿宋_GB2312" w:hAnsi="仿宋_GB2312" w:eastAsia="仿宋_GB2312" w:cs="仿宋_GB2312"/>
          <w:b/>
          <w:sz w:val="32"/>
          <w:szCs w:val="32"/>
        </w:rPr>
      </w:pPr>
      <w:r>
        <w:rPr>
          <w:rStyle w:val="8"/>
          <w:rFonts w:hint="eastAsia" w:ascii="Adobe 仿宋 Std R" w:hAnsi="Adobe 仿宋 Std R" w:eastAsia="Adobe 仿宋 Std R"/>
          <w:b/>
          <w:sz w:val="32"/>
          <w:szCs w:val="32"/>
        </w:rPr>
        <w:t xml:space="preserve"> </w:t>
      </w:r>
      <w:r>
        <w:rPr>
          <w:rStyle w:val="8"/>
          <w:rFonts w:hint="eastAsia" w:ascii="Adobe 仿宋 Std R" w:hAnsi="Adobe 仿宋 Std R" w:eastAsia="Adobe 仿宋 Std R"/>
          <w:b/>
          <w:sz w:val="32"/>
          <w:szCs w:val="32"/>
          <w:lang w:val="en-US" w:eastAsia="zh-CN"/>
        </w:rPr>
        <w:t xml:space="preserve">  </w:t>
      </w:r>
      <w:r>
        <w:rPr>
          <w:rStyle w:val="8"/>
          <w:rFonts w:hint="eastAsia" w:ascii="仿宋_GB2312" w:hAnsi="仿宋_GB2312" w:eastAsia="仿宋_GB2312" w:cs="仿宋_GB2312"/>
          <w:b/>
          <w:sz w:val="32"/>
          <w:szCs w:val="32"/>
        </w:rPr>
        <w:t>(一)收入预算情况</w:t>
      </w:r>
    </w:p>
    <w:p>
      <w:pPr>
        <w:widowControl/>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2021年赣州市城乡规划局南康分局收入预算总额为166.43万元,较上年预算安排增加</w:t>
      </w:r>
      <w:r>
        <w:rPr>
          <w:rFonts w:hint="eastAsia" w:ascii="仿宋_GB2312" w:hAnsi="仿宋_GB2312" w:eastAsia="仿宋_GB2312" w:cs="仿宋_GB2312"/>
          <w:kern w:val="0"/>
          <w:sz w:val="32"/>
          <w:szCs w:val="32"/>
          <w:lang w:val="en-US" w:eastAsia="zh-CN"/>
        </w:rPr>
        <w:t>2.12</w:t>
      </w:r>
      <w:r>
        <w:rPr>
          <w:rFonts w:hint="eastAsia" w:ascii="仿宋_GB2312" w:hAnsi="仿宋_GB2312" w:eastAsia="仿宋_GB2312" w:cs="仿宋_GB2312"/>
          <w:b w:val="0"/>
          <w:bCs w:val="0"/>
          <w:kern w:val="0"/>
          <w:sz w:val="32"/>
          <w:szCs w:val="32"/>
          <w:lang w:eastAsia="zh-CN"/>
        </w:rPr>
        <w:t>万元,</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主要因为是人员正常加薪造成的差异</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其</w:t>
      </w:r>
      <w:r>
        <w:rPr>
          <w:rFonts w:hint="eastAsia" w:ascii="仿宋_GB2312" w:hAnsi="仿宋_GB2312" w:eastAsia="仿宋_GB2312" w:cs="仿宋_GB2312"/>
          <w:kern w:val="0"/>
          <w:sz w:val="32"/>
          <w:szCs w:val="32"/>
          <w:lang w:eastAsia="zh-CN"/>
        </w:rPr>
        <w:t>中：财政拨款收入166.43万元，教育收费资金收入</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万元，事业单位经营收入</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万元，国库集中支付网上结转</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lang w:eastAsia="zh-CN"/>
        </w:rPr>
        <w:t>万元。</w:t>
      </w:r>
    </w:p>
    <w:p>
      <w:pPr>
        <w:widowControl/>
        <w:ind w:firstLine="643" w:firstLineChars="2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(二)支出预算情况</w:t>
      </w:r>
    </w:p>
    <w:p>
      <w:pPr>
        <w:ind w:firstLine="640" w:firstLineChars="200"/>
        <w:rPr>
          <w:rFonts w:hint="eastAsia" w:ascii="仿宋_GB2312" w:hAnsi="仿宋_GB2312" w:eastAsia="仿宋_GB2312" w:cs="仿宋_GB2312"/>
          <w:b/>
          <w:bCs/>
          <w:color w:val="FF0000"/>
          <w:kern w:val="0"/>
          <w:sz w:val="32"/>
          <w:szCs w:val="32"/>
          <w:lang w:val="en-US" w:eastAsia="zh-CN"/>
        </w:rPr>
      </w:pPr>
      <w:r>
        <w:rPr>
          <w:rStyle w:val="8"/>
          <w:rFonts w:hint="eastAsia" w:ascii="仿宋_GB2312" w:hAnsi="仿宋_GB2312" w:eastAsia="仿宋_GB2312" w:cs="仿宋_GB2312"/>
          <w:sz w:val="32"/>
          <w:szCs w:val="32"/>
          <w:lang w:eastAsia="zh-CN"/>
        </w:rPr>
        <w:t>2021年赣州市城乡规划局南康分局支出预算总额为支出预算总额为</w:t>
      </w:r>
      <w:r>
        <w:rPr>
          <w:rFonts w:hint="eastAsia" w:ascii="仿宋_GB2312" w:hAnsi="仿宋_GB2312" w:eastAsia="仿宋_GB2312" w:cs="仿宋_GB2312"/>
          <w:kern w:val="0"/>
          <w:sz w:val="32"/>
          <w:szCs w:val="32"/>
          <w:lang w:eastAsia="zh-CN"/>
        </w:rPr>
        <w:t>166.43</w:t>
      </w:r>
      <w:r>
        <w:rPr>
          <w:rStyle w:val="8"/>
          <w:rFonts w:hint="eastAsia" w:ascii="仿宋_GB2312" w:hAnsi="仿宋_GB2312" w:eastAsia="仿宋_GB2312" w:cs="仿宋_GB2312"/>
          <w:sz w:val="32"/>
          <w:szCs w:val="32"/>
          <w:lang w:eastAsia="zh-CN"/>
        </w:rPr>
        <w:t>万元,较上年预算</w:t>
      </w:r>
      <w:r>
        <w:rPr>
          <w:rStyle w:val="8"/>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安排</w:t>
      </w:r>
      <w:r>
        <w:rPr>
          <w:rFonts w:hint="eastAsia" w:ascii="仿宋_GB2312" w:hAnsi="仿宋_GB2312" w:eastAsia="仿宋_GB2312" w:cs="仿宋_GB2312"/>
          <w:b w:val="0"/>
          <w:bCs w:val="0"/>
          <w:color w:val="000000" w:themeColor="text1"/>
          <w:kern w:val="0"/>
          <w:sz w:val="32"/>
          <w:szCs w:val="32"/>
          <w:lang w:eastAsia="zh-CN"/>
          <w14:textFill>
            <w14:solidFill>
              <w14:schemeClr w14:val="tx1"/>
            </w14:solidFill>
          </w14:textFill>
        </w:rPr>
        <w:t>增加</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2.12</w:t>
      </w:r>
      <w:r>
        <w:rPr>
          <w:rStyle w:val="8"/>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万元,</w:t>
      </w:r>
      <w:r>
        <w:rPr>
          <w:rFonts w:hint="eastAsia" w:ascii="仿宋_GB2312" w:hAnsi="仿宋_GB2312" w:eastAsia="仿宋_GB2312" w:cs="仿宋_GB2312"/>
          <w:b w:val="0"/>
          <w:bCs w:val="0"/>
          <w:color w:val="000000" w:themeColor="text1"/>
          <w:kern w:val="0"/>
          <w:sz w:val="32"/>
          <w:szCs w:val="32"/>
          <w:lang w:val="en-US" w:eastAsia="zh-CN"/>
          <w14:textFill>
            <w14:solidFill>
              <w14:schemeClr w14:val="tx1"/>
            </w14:solidFill>
          </w14:textFill>
        </w:rPr>
        <w:t>主要因为是人员正常加薪造成的差异。</w:t>
      </w:r>
    </w:p>
    <w:p>
      <w:pPr>
        <w:ind w:firstLine="640" w:firstLineChars="200"/>
        <w:rPr>
          <w:rStyle w:val="8"/>
          <w:rFonts w:hint="eastAsia" w:ascii="仿宋_GB2312" w:hAnsi="仿宋_GB2312" w:eastAsia="仿宋_GB2312" w:cs="仿宋_GB2312"/>
          <w:sz w:val="32"/>
          <w:szCs w:val="32"/>
          <w:lang w:eastAsia="zh-CN"/>
        </w:rPr>
      </w:pPr>
      <w:r>
        <w:rPr>
          <w:rStyle w:val="8"/>
          <w:rFonts w:hint="eastAsia" w:ascii="仿宋_GB2312" w:hAnsi="仿宋_GB2312" w:eastAsia="仿宋_GB2312" w:cs="仿宋_GB2312"/>
          <w:sz w:val="32"/>
          <w:szCs w:val="32"/>
          <w:lang w:val="en-US" w:eastAsia="zh-CN"/>
        </w:rPr>
        <w:t>按支出项目划分</w:t>
      </w:r>
      <w:r>
        <w:rPr>
          <w:rStyle w:val="8"/>
          <w:rFonts w:hint="eastAsia" w:ascii="仿宋_GB2312" w:hAnsi="仿宋_GB2312" w:eastAsia="仿宋_GB2312" w:cs="仿宋_GB2312"/>
          <w:sz w:val="32"/>
          <w:szCs w:val="32"/>
          <w:lang w:eastAsia="zh-CN"/>
        </w:rPr>
        <w:t>：基本支出</w:t>
      </w:r>
      <w:r>
        <w:rPr>
          <w:rFonts w:hint="eastAsia" w:ascii="仿宋_GB2312" w:hAnsi="仿宋_GB2312" w:eastAsia="仿宋_GB2312" w:cs="仿宋_GB2312"/>
          <w:kern w:val="0"/>
          <w:sz w:val="32"/>
          <w:szCs w:val="32"/>
          <w:lang w:eastAsia="zh-CN"/>
        </w:rPr>
        <w:t>166.43</w:t>
      </w:r>
      <w:r>
        <w:rPr>
          <w:rStyle w:val="8"/>
          <w:rFonts w:hint="eastAsia" w:ascii="仿宋_GB2312" w:hAnsi="仿宋_GB2312" w:eastAsia="仿宋_GB2312" w:cs="仿宋_GB2312"/>
          <w:sz w:val="32"/>
          <w:szCs w:val="32"/>
          <w:lang w:eastAsia="zh-CN"/>
        </w:rPr>
        <w:t>万元，项目支出</w:t>
      </w:r>
      <w:r>
        <w:rPr>
          <w:rStyle w:val="8"/>
          <w:rFonts w:hint="eastAsia" w:ascii="仿宋_GB2312" w:hAnsi="仿宋_GB2312" w:eastAsia="仿宋_GB2312" w:cs="仿宋_GB2312"/>
          <w:sz w:val="32"/>
          <w:szCs w:val="32"/>
          <w:lang w:val="en-US" w:eastAsia="zh-CN"/>
        </w:rPr>
        <w:t>0</w:t>
      </w:r>
      <w:r>
        <w:rPr>
          <w:rStyle w:val="8"/>
          <w:rFonts w:hint="eastAsia" w:ascii="仿宋_GB2312" w:hAnsi="仿宋_GB2312" w:eastAsia="仿宋_GB2312" w:cs="仿宋_GB2312"/>
          <w:sz w:val="32"/>
          <w:szCs w:val="32"/>
          <w:lang w:eastAsia="zh-CN"/>
        </w:rPr>
        <w:t>万元。</w:t>
      </w:r>
    </w:p>
    <w:p>
      <w:pPr>
        <w:ind w:firstLine="640" w:firstLineChars="200"/>
        <w:rPr>
          <w:rStyle w:val="8"/>
          <w:rFonts w:hint="eastAsia" w:ascii="仿宋_GB2312" w:hAnsi="仿宋_GB2312" w:eastAsia="仿宋_GB2312" w:cs="仿宋_GB2312"/>
          <w:sz w:val="32"/>
          <w:szCs w:val="32"/>
          <w:lang w:eastAsia="zh-CN"/>
        </w:rPr>
      </w:pPr>
      <w:r>
        <w:rPr>
          <w:rStyle w:val="8"/>
          <w:rFonts w:hint="eastAsia" w:ascii="仿宋_GB2312" w:hAnsi="仿宋_GB2312" w:eastAsia="仿宋_GB2312" w:cs="仿宋_GB2312"/>
          <w:sz w:val="32"/>
          <w:szCs w:val="32"/>
          <w:lang w:eastAsia="zh-CN"/>
        </w:rPr>
        <w:t>按支出功能科目划分：社会保障和就业支出15.45万元，卫生健康支出11.77万元，自然资源海洋气象等支出127.62万元，住房保障支出11.59万元。</w:t>
      </w:r>
    </w:p>
    <w:p>
      <w:pPr>
        <w:ind w:firstLine="643" w:firstLineChars="2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(三)财政拨款支出情况</w:t>
      </w:r>
    </w:p>
    <w:p>
      <w:pPr>
        <w:ind w:firstLine="640" w:firstLineChars="200"/>
        <w:rPr>
          <w:rStyle w:val="8"/>
          <w:rFonts w:hint="eastAsia" w:ascii="仿宋_GB2312" w:hAnsi="仿宋_GB2312" w:eastAsia="仿宋_GB2312" w:cs="仿宋_GB2312"/>
          <w:sz w:val="32"/>
          <w:szCs w:val="32"/>
          <w:lang w:val="en-US" w:eastAsia="zh-CN"/>
        </w:rPr>
      </w:pPr>
      <w:r>
        <w:rPr>
          <w:rStyle w:val="8"/>
          <w:rFonts w:hint="eastAsia" w:ascii="仿宋_GB2312" w:hAnsi="仿宋_GB2312" w:eastAsia="仿宋_GB2312" w:cs="仿宋_GB2312"/>
          <w:sz w:val="32"/>
          <w:szCs w:val="32"/>
          <w:lang w:eastAsia="zh-CN"/>
        </w:rPr>
        <w:t>2021年赣州市城乡规划局南康分局财政拨款支出预算总额为财政拨款支出预算总额166.43万元，</w:t>
      </w:r>
      <w:r>
        <w:rPr>
          <w:rStyle w:val="8"/>
          <w:rFonts w:hint="eastAsia" w:ascii="仿宋_GB2312" w:hAnsi="仿宋_GB2312" w:eastAsia="仿宋_GB2312" w:cs="仿宋_GB2312"/>
          <w:sz w:val="32"/>
          <w:szCs w:val="32"/>
          <w:lang w:val="en-US" w:eastAsia="zh-CN"/>
        </w:rPr>
        <w:t>其中：</w:t>
      </w:r>
      <w:r>
        <w:rPr>
          <w:rStyle w:val="8"/>
          <w:rFonts w:hint="eastAsia" w:ascii="仿宋_GB2312" w:hAnsi="仿宋_GB2312" w:eastAsia="仿宋_GB2312" w:cs="仿宋_GB2312"/>
          <w:sz w:val="32"/>
          <w:szCs w:val="32"/>
          <w:lang w:eastAsia="zh-CN"/>
        </w:rPr>
        <w:t>按支出功能科目划分：社会保障和就业支出15.45万元，卫生健康支出11.77万元，自然资源海洋气象等支出127.62万元，住房保障支出11.59万元。</w:t>
      </w:r>
    </w:p>
    <w:p>
      <w:pPr>
        <w:ind w:firstLine="643" w:firstLineChars="2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(四)政府性基金情况</w:t>
      </w:r>
    </w:p>
    <w:p>
      <w:pPr>
        <w:ind w:firstLine="640" w:firstLineChars="200"/>
        <w:rPr>
          <w:rStyle w:val="8"/>
          <w:rFonts w:hint="eastAsia" w:ascii="仿宋_GB2312" w:hAnsi="仿宋_GB2312" w:eastAsia="仿宋_GB2312" w:cs="仿宋_GB2312"/>
          <w:color w:val="FF0000"/>
          <w:sz w:val="32"/>
          <w:szCs w:val="32"/>
          <w:highlight w:val="yellow"/>
        </w:rPr>
      </w:pPr>
      <w:r>
        <w:rPr>
          <w:rStyle w:val="8"/>
          <w:rFonts w:hint="eastAsia" w:ascii="仿宋_GB2312" w:hAnsi="仿宋_GB2312" w:eastAsia="仿宋_GB2312" w:cs="仿宋_GB2312"/>
          <w:sz w:val="32"/>
          <w:szCs w:val="32"/>
          <w:lang w:eastAsia="zh-CN"/>
        </w:rPr>
        <w:t>2021年赣州市城乡规划局南康分局</w:t>
      </w:r>
      <w:r>
        <w:rPr>
          <w:rStyle w:val="8"/>
          <w:rFonts w:hint="eastAsia" w:ascii="仿宋_GB2312" w:hAnsi="仿宋_GB2312" w:eastAsia="仿宋_GB2312" w:cs="仿宋_GB2312"/>
          <w:sz w:val="32"/>
          <w:szCs w:val="32"/>
          <w:lang w:val="en-US" w:eastAsia="zh-CN"/>
        </w:rPr>
        <w:t>无</w:t>
      </w:r>
      <w:r>
        <w:rPr>
          <w:rStyle w:val="8"/>
          <w:rFonts w:hint="eastAsia" w:ascii="仿宋_GB2312" w:hAnsi="仿宋_GB2312" w:eastAsia="仿宋_GB2312" w:cs="仿宋_GB2312"/>
          <w:sz w:val="32"/>
          <w:szCs w:val="32"/>
          <w:lang w:eastAsia="zh-CN"/>
        </w:rPr>
        <w:t>政府性基金预算拨款安排的支出。</w:t>
      </w:r>
    </w:p>
    <w:p>
      <w:pPr>
        <w:ind w:firstLine="321" w:firstLineChars="1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 xml:space="preserve"> (</w:t>
      </w:r>
      <w:r>
        <w:rPr>
          <w:rStyle w:val="8"/>
          <w:rFonts w:hint="eastAsia" w:ascii="仿宋_GB2312" w:hAnsi="仿宋_GB2312" w:eastAsia="仿宋_GB2312" w:cs="仿宋_GB2312"/>
          <w:b/>
          <w:sz w:val="32"/>
          <w:szCs w:val="32"/>
          <w:lang w:val="en-US" w:eastAsia="zh-CN"/>
        </w:rPr>
        <w:t>五</w:t>
      </w:r>
      <w:r>
        <w:rPr>
          <w:rStyle w:val="8"/>
          <w:rFonts w:hint="eastAsia" w:ascii="仿宋_GB2312" w:hAnsi="仿宋_GB2312" w:eastAsia="仿宋_GB2312" w:cs="仿宋_GB2312"/>
          <w:b/>
          <w:sz w:val="32"/>
          <w:szCs w:val="32"/>
        </w:rPr>
        <w:t>)机关运行经费等重要事项的说明</w:t>
      </w:r>
    </w:p>
    <w:p>
      <w:pPr>
        <w:ind w:firstLine="640" w:firstLineChars="200"/>
        <w:rPr>
          <w:rStyle w:val="8"/>
          <w:rFonts w:hint="eastAsia" w:ascii="仿宋_GB2312" w:hAnsi="仿宋_GB2312" w:eastAsia="仿宋_GB2312" w:cs="仿宋_GB2312"/>
          <w:sz w:val="32"/>
          <w:szCs w:val="32"/>
          <w:lang w:eastAsia="zh-CN"/>
        </w:rPr>
      </w:pPr>
      <w:r>
        <w:rPr>
          <w:rStyle w:val="8"/>
          <w:rFonts w:hint="eastAsia" w:ascii="仿宋_GB2312" w:hAnsi="仿宋_GB2312" w:eastAsia="仿宋_GB2312" w:cs="仿宋_GB2312"/>
          <w:sz w:val="32"/>
          <w:szCs w:val="32"/>
          <w:lang w:eastAsia="zh-CN"/>
        </w:rPr>
        <w:t>本单位为非行政参公单位，无机关运行费。</w:t>
      </w:r>
    </w:p>
    <w:p>
      <w:pPr>
        <w:ind w:firstLine="643" w:firstLineChars="2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w:t>
      </w:r>
      <w:r>
        <w:rPr>
          <w:rStyle w:val="8"/>
          <w:rFonts w:hint="eastAsia" w:ascii="仿宋_GB2312" w:hAnsi="仿宋_GB2312" w:eastAsia="仿宋_GB2312" w:cs="仿宋_GB2312"/>
          <w:b/>
          <w:sz w:val="32"/>
          <w:szCs w:val="32"/>
          <w:lang w:val="en-US" w:eastAsia="zh-CN"/>
        </w:rPr>
        <w:t>六</w:t>
      </w:r>
      <w:r>
        <w:rPr>
          <w:rStyle w:val="8"/>
          <w:rFonts w:hint="eastAsia" w:ascii="仿宋_GB2312" w:hAnsi="仿宋_GB2312" w:eastAsia="仿宋_GB2312" w:cs="仿宋_GB2312"/>
          <w:b/>
          <w:sz w:val="32"/>
          <w:szCs w:val="32"/>
        </w:rPr>
        <w:t>)政府采购情况</w:t>
      </w:r>
    </w:p>
    <w:p>
      <w:pPr>
        <w:ind w:firstLine="640" w:firstLineChars="200"/>
        <w:rPr>
          <w:rStyle w:val="8"/>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年部门所属各单位政府采购总额</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万元。</w:t>
      </w:r>
    </w:p>
    <w:p>
      <w:pPr>
        <w:ind w:firstLine="643" w:firstLineChars="2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w:t>
      </w:r>
      <w:r>
        <w:rPr>
          <w:rStyle w:val="8"/>
          <w:rFonts w:hint="eastAsia" w:ascii="仿宋_GB2312" w:hAnsi="仿宋_GB2312" w:eastAsia="仿宋_GB2312" w:cs="仿宋_GB2312"/>
          <w:b/>
          <w:sz w:val="32"/>
          <w:szCs w:val="32"/>
          <w:lang w:val="en-US" w:eastAsia="zh-CN"/>
        </w:rPr>
        <w:t>七</w:t>
      </w:r>
      <w:r>
        <w:rPr>
          <w:rStyle w:val="8"/>
          <w:rFonts w:hint="eastAsia" w:ascii="仿宋_GB2312" w:hAnsi="仿宋_GB2312" w:eastAsia="仿宋_GB2312" w:cs="仿宋_GB2312"/>
          <w:b/>
          <w:sz w:val="32"/>
          <w:szCs w:val="32"/>
        </w:rPr>
        <w:t>)国有资产占有使用情况</w:t>
      </w:r>
    </w:p>
    <w:p>
      <w:pPr>
        <w:ind w:firstLine="642"/>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部门共有车辆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年部门预算安排购置车辆</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rPr>
        <w:t>辆，安排购置单位价值200万元以上大</w:t>
      </w:r>
      <w:r>
        <w:rPr>
          <w:rFonts w:hint="eastAsia" w:ascii="仿宋_GB2312" w:hAnsi="仿宋_GB2312" w:eastAsia="仿宋_GB2312" w:cs="仿宋_GB2312"/>
          <w:sz w:val="32"/>
          <w:szCs w:val="32"/>
          <w:u w:val="none"/>
        </w:rPr>
        <w:t>型设备</w:t>
      </w:r>
      <w:r>
        <w:rPr>
          <w:rFonts w:hint="eastAsia" w:ascii="仿宋_GB2312" w:hAnsi="仿宋_GB2312" w:eastAsia="仿宋_GB2312" w:cs="仿宋_GB2312"/>
          <w:sz w:val="32"/>
          <w:szCs w:val="32"/>
          <w:u w:val="none"/>
          <w:lang w:val="en-US" w:eastAsia="zh-CN"/>
        </w:rPr>
        <w:t>0台</w:t>
      </w:r>
      <w:r>
        <w:rPr>
          <w:rFonts w:hint="eastAsia" w:ascii="仿宋_GB2312" w:hAnsi="仿宋_GB2312" w:eastAsia="仿宋_GB2312" w:cs="仿宋_GB2312"/>
          <w:sz w:val="32"/>
          <w:szCs w:val="32"/>
          <w:u w:val="none"/>
        </w:rPr>
        <w:t>。</w:t>
      </w:r>
    </w:p>
    <w:p>
      <w:pPr>
        <w:ind w:firstLine="321" w:firstLineChars="100"/>
        <w:rPr>
          <w:rStyle w:val="8"/>
          <w:rFonts w:hint="eastAsia" w:ascii="仿宋_GB2312" w:hAnsi="仿宋_GB2312" w:eastAsia="仿宋_GB2312" w:cs="仿宋_GB2312"/>
          <w:b/>
          <w:sz w:val="32"/>
          <w:szCs w:val="32"/>
        </w:rPr>
      </w:pPr>
      <w:r>
        <w:rPr>
          <w:rStyle w:val="8"/>
          <w:rFonts w:hint="eastAsia" w:ascii="仿宋_GB2312" w:hAnsi="仿宋_GB2312" w:eastAsia="仿宋_GB2312" w:cs="仿宋_GB2312"/>
          <w:b/>
          <w:sz w:val="32"/>
          <w:szCs w:val="32"/>
        </w:rPr>
        <w:t>（</w:t>
      </w:r>
      <w:r>
        <w:rPr>
          <w:rStyle w:val="8"/>
          <w:rFonts w:hint="eastAsia" w:ascii="仿宋_GB2312" w:hAnsi="仿宋_GB2312" w:eastAsia="仿宋_GB2312" w:cs="仿宋_GB2312"/>
          <w:b/>
          <w:sz w:val="32"/>
          <w:szCs w:val="32"/>
          <w:lang w:val="en-US" w:eastAsia="zh-CN"/>
        </w:rPr>
        <w:t>八</w:t>
      </w:r>
      <w:r>
        <w:rPr>
          <w:rStyle w:val="8"/>
          <w:rFonts w:hint="eastAsia" w:ascii="仿宋_GB2312" w:hAnsi="仿宋_GB2312" w:eastAsia="仿宋_GB2312" w:cs="仿宋_GB2312"/>
          <w:b/>
          <w:sz w:val="32"/>
          <w:szCs w:val="32"/>
        </w:rPr>
        <w:t>）项目情况说明（部门本级）</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无项目</w:t>
      </w:r>
      <w:r>
        <w:rPr>
          <w:rFonts w:hint="eastAsia" w:ascii="仿宋_GB2312" w:hAnsi="仿宋_GB2312" w:eastAsia="仿宋_GB2312" w:cs="仿宋_GB2312"/>
          <w:bCs/>
          <w:sz w:val="32"/>
          <w:szCs w:val="32"/>
        </w:rPr>
        <w:t>支出</w:t>
      </w:r>
    </w:p>
    <w:p>
      <w:pPr>
        <w:widowControl/>
        <w:spacing w:line="580" w:lineRule="exact"/>
        <w:ind w:firstLine="643" w:firstLineChars="200"/>
        <w:jc w:val="left"/>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2021年赣州市城乡规划局南康分局</w:t>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9.7</w:t>
      </w:r>
      <w:r>
        <w:rPr>
          <w:rFonts w:hint="eastAsia" w:ascii="仿宋_GB2312" w:hAnsi="仿宋_GB2312" w:eastAsia="仿宋_GB2312" w:cs="仿宋_GB2312"/>
          <w:bCs/>
          <w:sz w:val="32"/>
          <w:szCs w:val="32"/>
        </w:rPr>
        <w:t>万元，其中：</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bCs/>
          <w:sz w:val="32"/>
          <w:szCs w:val="32"/>
        </w:rPr>
        <w:t>万元,比上年增（减）</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万元，主要原因是：</w:t>
      </w:r>
      <w:r>
        <w:rPr>
          <w:rFonts w:hint="eastAsia" w:ascii="仿宋_GB2312" w:hAnsi="仿宋_GB2312" w:eastAsia="仿宋_GB2312" w:cs="仿宋_GB2312"/>
          <w:bCs/>
          <w:sz w:val="32"/>
          <w:szCs w:val="32"/>
          <w:lang w:eastAsia="zh-CN"/>
        </w:rPr>
        <w:t>无因公出国</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lang w:val="en-US" w:eastAsia="zh-CN"/>
        </w:rPr>
        <w:t>9.7</w:t>
      </w:r>
      <w:r>
        <w:rPr>
          <w:rFonts w:hint="eastAsia" w:ascii="仿宋_GB2312" w:hAnsi="仿宋_GB2312" w:eastAsia="仿宋_GB2312" w:cs="仿宋_GB2312"/>
          <w:bCs/>
          <w:sz w:val="32"/>
          <w:szCs w:val="32"/>
        </w:rPr>
        <w:t>万元,比上年增（减）</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万元，主要原因是：</w:t>
      </w:r>
      <w:r>
        <w:rPr>
          <w:rFonts w:hint="eastAsia" w:ascii="仿宋_GB2312" w:hAnsi="仿宋_GB2312" w:eastAsia="仿宋_GB2312" w:cs="仿宋_GB2312"/>
          <w:bCs/>
          <w:sz w:val="32"/>
          <w:szCs w:val="32"/>
          <w:lang w:eastAsia="zh-CN"/>
        </w:rPr>
        <w:t>按照上年度预算申报</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bCs/>
          <w:sz w:val="32"/>
          <w:szCs w:val="32"/>
        </w:rPr>
        <w:t>万元,比上年增（减）</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万元，主要原因是：</w:t>
      </w:r>
      <w:r>
        <w:rPr>
          <w:rFonts w:hint="eastAsia" w:ascii="仿宋_GB2312" w:hAnsi="仿宋_GB2312" w:eastAsia="仿宋_GB2312" w:cs="仿宋_GB2312"/>
          <w:bCs/>
          <w:sz w:val="32"/>
          <w:szCs w:val="32"/>
          <w:lang w:eastAsia="zh-CN"/>
        </w:rPr>
        <w:t>无</w:t>
      </w: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bCs/>
          <w:sz w:val="32"/>
          <w:szCs w:val="32"/>
          <w:lang w:eastAsia="zh-CN"/>
        </w:rPr>
        <w:t>费用</w:t>
      </w:r>
      <w:r>
        <w:rPr>
          <w:rFonts w:hint="eastAsia" w:ascii="仿宋_GB2312" w:hAnsi="仿宋_GB2312" w:eastAsia="仿宋_GB2312" w:cs="仿宋_GB2312"/>
          <w:bCs/>
          <w:sz w:val="32"/>
          <w:szCs w:val="32"/>
        </w:rPr>
        <w:t>。</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bCs/>
          <w:sz w:val="32"/>
          <w:szCs w:val="32"/>
        </w:rPr>
        <w:t>万元,比上年增（减）</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万元，主要原因是：</w:t>
      </w:r>
      <w:r>
        <w:rPr>
          <w:rFonts w:hint="eastAsia" w:ascii="仿宋_GB2312" w:hAnsi="仿宋_GB2312" w:eastAsia="仿宋_GB2312" w:cs="仿宋_GB2312"/>
          <w:bCs/>
          <w:sz w:val="32"/>
          <w:szCs w:val="32"/>
          <w:lang w:eastAsia="zh-CN"/>
        </w:rPr>
        <w:t>无公务用车购置</w:t>
      </w:r>
      <w:r>
        <w:rPr>
          <w:rFonts w:hint="eastAsia" w:ascii="仿宋_GB2312" w:hAnsi="仿宋_GB2312" w:eastAsia="仿宋_GB2312" w:cs="仿宋_GB2312"/>
          <w:bCs/>
          <w:sz w:val="32"/>
          <w:szCs w:val="32"/>
        </w:rPr>
        <w:t>。</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numPr>
          <w:ilvl w:val="0"/>
          <w:numId w:val="3"/>
        </w:numPr>
        <w:spacing w:line="600" w:lineRule="exact"/>
        <w:ind w:firstLine="640"/>
        <w:jc w:val="left"/>
        <w:rPr>
          <w:rFonts w:ascii="仿宋_GB2312" w:hAnsi="Times New Roman" w:eastAsia="仿宋_GB2312" w:cs="Times New Roman"/>
          <w:color w:val="000000"/>
          <w:sz w:val="32"/>
          <w:szCs w:val="30"/>
        </w:rPr>
      </w:pPr>
      <w:bookmarkStart w:id="1" w:name="_GoBack"/>
      <w:bookmarkEnd w:id="1"/>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rPr>
          <w:rFonts w:hint="eastAsia"/>
          <w:sz w:val="32"/>
          <w:szCs w:val="32"/>
          <w:lang w:val="en-US" w:eastAsia="zh-CN"/>
        </w:rPr>
      </w:pPr>
    </w:p>
    <w:sectPr>
      <w:pgSz w:w="11906" w:h="16838"/>
      <w:pgMar w:top="1417" w:right="1304" w:bottom="141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F4A47"/>
    <w:multiLevelType w:val="singleLevel"/>
    <w:tmpl w:val="CFFF4A47"/>
    <w:lvl w:ilvl="0" w:tentative="0">
      <w:start w:val="1"/>
      <w:numFmt w:val="chineseCounting"/>
      <w:suff w:val="space"/>
      <w:lvlText w:val="第%1部分"/>
      <w:lvlJc w:val="left"/>
      <w:rPr>
        <w:rFonts w:hint="eastAsia"/>
      </w:rPr>
    </w:lvl>
  </w:abstractNum>
  <w:abstractNum w:abstractNumId="1">
    <w:nsid w:val="00000007"/>
    <w:multiLevelType w:val="singleLevel"/>
    <w:tmpl w:val="00000007"/>
    <w:lvl w:ilvl="0" w:tentative="0">
      <w:start w:val="1"/>
      <w:numFmt w:val="chineseCounting"/>
      <w:suff w:val="nothing"/>
      <w:lvlText w:val="（%1）"/>
      <w:lvlJc w:val="left"/>
      <w:rPr>
        <w:rFonts w:hint="eastAsia"/>
      </w:rPr>
    </w:lvl>
  </w:abstractNum>
  <w:abstractNum w:abstractNumId="2">
    <w:nsid w:val="0AF6D52F"/>
    <w:multiLevelType w:val="singleLevel"/>
    <w:tmpl w:val="0AF6D52F"/>
    <w:lvl w:ilvl="0" w:tentative="0">
      <w:start w:val="4"/>
      <w:numFmt w:val="chineseCounting"/>
      <w:suff w:val="space"/>
      <w:lvlText w:val="第%1部分"/>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0OGI0YjUyZGY2Njk1NjliOGZkMzFiZDkzZjM3MmMifQ=="/>
  </w:docVars>
  <w:rsids>
    <w:rsidRoot w:val="40D33017"/>
    <w:rsid w:val="0C816A12"/>
    <w:rsid w:val="1B542BD8"/>
    <w:rsid w:val="1D363AEE"/>
    <w:rsid w:val="2E4A0DA0"/>
    <w:rsid w:val="30C17CEE"/>
    <w:rsid w:val="315A185C"/>
    <w:rsid w:val="35766FBA"/>
    <w:rsid w:val="40D33017"/>
    <w:rsid w:val="56CC326D"/>
    <w:rsid w:val="6A1B137A"/>
    <w:rsid w:val="75E724D0"/>
    <w:rsid w:val="79A631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qFormat/>
    <w:uiPriority w:val="0"/>
    <w:pPr>
      <w:widowControl w:val="0"/>
      <w:spacing w:after="0"/>
      <w:ind w:firstLine="420" w:firstLineChars="200"/>
      <w:jc w:val="both"/>
    </w:pPr>
    <w:rPr>
      <w:rFonts w:ascii="Times New Roman" w:hAnsi="Times New Roman" w:eastAsia="宋体" w:cs="Times New Roman"/>
      <w:kern w:val="2"/>
      <w:sz w:val="21"/>
      <w:szCs w:val="24"/>
      <w:lang w:val="en-US" w:eastAsia="zh-CN" w:bidi="ar-SA"/>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p0"/>
    <w:basedOn w:val="1"/>
    <w:qFormat/>
    <w:uiPriority w:val="0"/>
    <w:pPr>
      <w:widowControl/>
    </w:pPr>
    <w:rPr>
      <w:rFonts w:ascii="Times New Roman" w:hAnsi="Times New Roman" w:eastAsia="宋体" w:cs="Times New Roman"/>
      <w:kern w:val="0"/>
      <w:szCs w:val="21"/>
    </w:rPr>
  </w:style>
  <w:style w:type="character" w:customStyle="1" w:styleId="8">
    <w:name w:val="row_tree_level_4"/>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1913</Words>
  <Characters>2148</Characters>
  <Lines>0</Lines>
  <Paragraphs>0</Paragraphs>
  <TotalTime>1</TotalTime>
  <ScaleCrop>false</ScaleCrop>
  <LinksUpToDate>false</LinksUpToDate>
  <CharactersWithSpaces>2213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dcterms:modified xsi:type="dcterms:W3CDTF">2022-09-03T10:14:07Z</dcterms:modified>
  <dc:title>关于预算公开的填报口径说明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E3E0DA151D474EA1914AC5E80BE4A661</vt:lpwstr>
  </property>
</Properties>
</file>