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40" w:lineRule="exact"/>
        <w:ind w:right="0" w:rightChars="0"/>
        <w:textAlignment w:val="auto"/>
        <w:rPr>
          <w:rFonts w:hint="eastAsia" w:ascii="黑体" w:hAnsi="黑体" w:eastAsia="黑体" w:cs="黑体"/>
          <w:bCs/>
          <w:sz w:val="32"/>
          <w:szCs w:val="32"/>
        </w:rPr>
      </w:pPr>
    </w:p>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赣州市土地交易管理中心2021</w:t>
      </w:r>
      <w:r>
        <w:rPr>
          <w:rFonts w:hint="eastAsia" w:ascii="方正小标宋_GBK" w:hAnsi="方正小标宋_GBK" w:eastAsia="方正小标宋_GBK" w:cs="方正小标宋_GBK"/>
          <w:b w:val="0"/>
          <w:bCs w:val="0"/>
        </w:rPr>
        <w:t>年部门预算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t>赣州市土地交易管理中心概况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rPr>
        <w:t>赣州市土地交易管理中心</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rPr>
        <w:t>赣州市土地交易管理中心</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rPr>
        <w:t>赣州市土地交易管理中心概况</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一、部门主要职责</w:t>
      </w:r>
    </w:p>
    <w:p>
      <w:pPr>
        <w:ind w:firstLine="630"/>
        <w:jc w:val="left"/>
        <w:rPr>
          <w:rFonts w:hint="eastAsia" w:ascii="仿宋" w:hAnsi="仿宋" w:eastAsia="仿宋"/>
          <w:sz w:val="30"/>
          <w:szCs w:val="30"/>
        </w:rPr>
      </w:pPr>
      <w:r>
        <w:rPr>
          <w:rFonts w:hint="eastAsia" w:ascii="仿宋" w:hAnsi="仿宋" w:eastAsia="仿宋"/>
          <w:sz w:val="30"/>
          <w:szCs w:val="30"/>
        </w:rPr>
        <w:t>（一）负责实施市中心城区国有土地使用权的公开出让及土地成交价款的清缴工作；负责交易条件的核验和竞买资格及土地使用权的成交确认工作，负责收集、汇总、发布土地交易信息，提供土地交易相关法律和信息咨询服务。</w:t>
      </w:r>
    </w:p>
    <w:p>
      <w:pPr>
        <w:ind w:firstLine="630"/>
        <w:jc w:val="left"/>
        <w:rPr>
          <w:rFonts w:hint="eastAsia" w:ascii="仿宋" w:hAnsi="仿宋" w:eastAsia="仿宋"/>
          <w:sz w:val="30"/>
          <w:szCs w:val="30"/>
        </w:rPr>
      </w:pPr>
      <w:r>
        <w:rPr>
          <w:rFonts w:hint="eastAsia" w:ascii="仿宋" w:hAnsi="仿宋" w:eastAsia="仿宋"/>
          <w:sz w:val="30"/>
          <w:szCs w:val="30"/>
        </w:rPr>
        <w:t>（二）承担市本级不动产登记资料归档、保管、利用等工作；负责统一收集、保管国土资源档案资料；依法提供档案资料查询服务。</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二、机构设置及人员情况</w:t>
      </w:r>
    </w:p>
    <w:p>
      <w:pPr>
        <w:widowControl/>
        <w:spacing w:line="600" w:lineRule="exact"/>
        <w:ind w:firstLine="641"/>
        <w:jc w:val="left"/>
        <w:rPr>
          <w:rFonts w:hint="eastAsia" w:ascii="仿宋" w:hAnsi="仿宋" w:eastAsia="仿宋"/>
          <w:sz w:val="30"/>
          <w:szCs w:val="30"/>
        </w:rPr>
      </w:pPr>
      <w:r>
        <w:rPr>
          <w:rFonts w:hint="eastAsia" w:ascii="仿宋" w:hAnsi="仿宋" w:eastAsia="仿宋"/>
          <w:sz w:val="30"/>
          <w:szCs w:val="30"/>
        </w:rPr>
        <w:t>本</w:t>
      </w:r>
      <w:r>
        <w:rPr>
          <w:rFonts w:hint="eastAsia" w:ascii="仿宋" w:hAnsi="仿宋" w:eastAsia="仿宋"/>
          <w:sz w:val="30"/>
          <w:szCs w:val="30"/>
          <w:lang w:eastAsia="zh-CN"/>
        </w:rPr>
        <w:t>单位人员编制</w:t>
      </w:r>
      <w:r>
        <w:rPr>
          <w:rFonts w:hint="eastAsia" w:ascii="仿宋" w:hAnsi="仿宋" w:eastAsia="仿宋"/>
          <w:sz w:val="30"/>
          <w:szCs w:val="30"/>
          <w:lang w:val="en-US" w:eastAsia="zh-CN"/>
        </w:rPr>
        <w:t>8人，其中：全额拨款事业人员8人，</w:t>
      </w:r>
      <w:r>
        <w:rPr>
          <w:rFonts w:hint="eastAsia" w:ascii="仿宋" w:hAnsi="仿宋" w:eastAsia="仿宋"/>
          <w:sz w:val="30"/>
          <w:szCs w:val="30"/>
        </w:rPr>
        <w:t>实有人数 </w:t>
      </w:r>
      <w:r>
        <w:rPr>
          <w:rFonts w:hint="eastAsia" w:ascii="仿宋" w:hAnsi="仿宋" w:eastAsia="仿宋"/>
          <w:sz w:val="30"/>
          <w:szCs w:val="30"/>
          <w:lang w:val="en-US" w:eastAsia="zh-CN"/>
        </w:rPr>
        <w:t>19</w:t>
      </w:r>
      <w:r>
        <w:rPr>
          <w:rFonts w:hint="eastAsia" w:ascii="仿宋" w:hAnsi="仿宋" w:eastAsia="仿宋"/>
          <w:sz w:val="30"/>
          <w:szCs w:val="30"/>
        </w:rPr>
        <w:t>人，其中</w:t>
      </w:r>
      <w:r>
        <w:rPr>
          <w:rFonts w:hint="eastAsia" w:ascii="仿宋" w:hAnsi="仿宋" w:eastAsia="仿宋"/>
          <w:sz w:val="30"/>
          <w:szCs w:val="30"/>
          <w:lang w:val="en-US" w:eastAsia="zh-CN"/>
        </w:rPr>
        <w:t>:</w:t>
      </w:r>
      <w:r>
        <w:rPr>
          <w:rFonts w:hint="eastAsia" w:ascii="仿宋" w:hAnsi="仿宋" w:eastAsia="仿宋"/>
          <w:sz w:val="30"/>
          <w:szCs w:val="30"/>
        </w:rPr>
        <w:t>在职人员 8 人，离休人员0人，退休人员 11 人</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color w:val="000000"/>
          <w:sz w:val="32"/>
          <w:szCs w:val="32"/>
        </w:rPr>
        <w:t>赣州市土地交易管理中心</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color w:val="000000"/>
          <w:sz w:val="32"/>
          <w:szCs w:val="32"/>
        </w:rPr>
        <w:t>赣州市土地交易管理中心</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bCs/>
          <w:color w:val="000000"/>
          <w:sz w:val="32"/>
          <w:szCs w:val="32"/>
        </w:rPr>
        <w:t>赣州市土地交易管理中心</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43.97</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万元,较上年预算安排减少</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163.32</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主要因为是上年结转减少及其他收入</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43.8</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万元，事业单位经营收入_</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 xml:space="preserve"> 0.17</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bCs/>
          <w:color w:val="FF0000"/>
          <w:kern w:val="0"/>
          <w:sz w:val="32"/>
          <w:szCs w:val="32"/>
          <w:lang w:val="en-US" w:eastAsia="zh-CN"/>
        </w:rPr>
      </w:pPr>
      <w:r>
        <w:rPr>
          <w:rStyle w:val="7"/>
          <w:rFonts w:hint="eastAsia" w:ascii="仿宋_GB2312" w:hAnsi="仿宋_GB2312" w:eastAsia="仿宋_GB2312" w:cs="仿宋_GB2312"/>
          <w:b w:val="0"/>
          <w:bCs w:val="0"/>
          <w:color w:val="auto"/>
          <w:sz w:val="32"/>
          <w:szCs w:val="32"/>
          <w:lang w:eastAsia="zh-CN"/>
        </w:rPr>
        <w:t>2021年</w:t>
      </w:r>
      <w:r>
        <w:rPr>
          <w:rFonts w:hint="eastAsia" w:ascii="仿宋" w:hAnsi="仿宋" w:eastAsia="仿宋" w:cs="仿宋"/>
          <w:b/>
          <w:bCs/>
          <w:color w:val="000000"/>
          <w:sz w:val="32"/>
          <w:szCs w:val="32"/>
        </w:rPr>
        <w:t>赣州市土地交易管理中心</w:t>
      </w:r>
      <w:r>
        <w:rPr>
          <w:rStyle w:val="7"/>
          <w:rFonts w:hint="eastAsia" w:ascii="仿宋_GB2312" w:hAnsi="仿宋_GB2312" w:eastAsia="仿宋_GB2312" w:cs="仿宋_GB2312"/>
          <w:b w:val="0"/>
          <w:bCs w:val="0"/>
          <w:color w:val="auto"/>
          <w:sz w:val="32"/>
          <w:szCs w:val="32"/>
          <w:lang w:eastAsia="zh-CN"/>
        </w:rPr>
        <w:t>支出预算总额为支出预算总额为__</w:t>
      </w:r>
      <w:r>
        <w:rPr>
          <w:rStyle w:val="7"/>
          <w:rFonts w:hint="eastAsia" w:ascii="仿宋_GB2312" w:hAnsi="仿宋_GB2312" w:eastAsia="仿宋_GB2312" w:cs="仿宋_GB2312"/>
          <w:b w:val="0"/>
          <w:bCs w:val="0"/>
          <w:color w:val="auto"/>
          <w:sz w:val="32"/>
          <w:szCs w:val="32"/>
          <w:lang w:val="en-US" w:eastAsia="zh-CN"/>
        </w:rPr>
        <w:t>43.97</w:t>
      </w:r>
      <w:r>
        <w:rPr>
          <w:rStyle w:val="7"/>
          <w:rFonts w:hint="eastAsia" w:ascii="仿宋_GB2312" w:hAnsi="仿宋_GB2312" w:eastAsia="仿宋_GB2312" w:cs="仿宋_GB2312"/>
          <w:b w:val="0"/>
          <w:bCs w:val="0"/>
          <w:color w:val="auto"/>
          <w:sz w:val="32"/>
          <w:szCs w:val="32"/>
          <w:lang w:eastAsia="zh-CN"/>
        </w:rPr>
        <w:t>__万元,较上年预算安排减少__</w:t>
      </w:r>
      <w:r>
        <w:rPr>
          <w:rFonts w:hint="eastAsia" w:ascii="仿宋_GB2312" w:hAnsi="仿宋_GB2312" w:eastAsia="仿宋_GB2312" w:cs="仿宋_GB2312"/>
          <w:b w:val="0"/>
          <w:bCs w:val="0"/>
          <w:color w:val="auto"/>
          <w:kern w:val="0"/>
          <w:sz w:val="32"/>
          <w:szCs w:val="32"/>
          <w:u w:val="single"/>
          <w:lang w:val="en-US" w:eastAsia="zh-CN"/>
        </w:rPr>
        <w:t>163.32</w:t>
      </w:r>
      <w:r>
        <w:rPr>
          <w:rFonts w:hint="eastAsia" w:ascii="仿宋_GB2312" w:hAnsi="仿宋_GB2312" w:eastAsia="仿宋_GB2312" w:cs="仿宋_GB2312"/>
          <w:b w:val="0"/>
          <w:bCs w:val="0"/>
          <w:color w:val="auto"/>
          <w:kern w:val="0"/>
          <w:sz w:val="32"/>
          <w:szCs w:val="32"/>
          <w:u w:val="single"/>
          <w:lang w:eastAsia="zh-CN"/>
        </w:rPr>
        <w:t>_</w:t>
      </w:r>
      <w:r>
        <w:rPr>
          <w:rStyle w:val="7"/>
          <w:rFonts w:hint="eastAsia" w:ascii="仿宋_GB2312" w:hAnsi="仿宋_GB2312" w:eastAsia="仿宋_GB2312" w:cs="仿宋_GB2312"/>
          <w:b w:val="0"/>
          <w:bCs w:val="0"/>
          <w:color w:val="auto"/>
          <w:sz w:val="32"/>
          <w:szCs w:val="32"/>
          <w:lang w:eastAsia="zh-CN"/>
        </w:rPr>
        <w:t>__万元,</w:t>
      </w:r>
      <w:r>
        <w:rPr>
          <w:rFonts w:hint="eastAsia" w:ascii="仿宋_GB2312" w:hAnsi="仿宋_GB2312" w:eastAsia="仿宋_GB2312" w:cs="仿宋_GB2312"/>
          <w:b w:val="0"/>
          <w:bCs w:val="0"/>
          <w:color w:val="auto"/>
          <w:kern w:val="0"/>
          <w:sz w:val="32"/>
          <w:szCs w:val="32"/>
          <w:lang w:val="en-US" w:eastAsia="zh-CN"/>
        </w:rPr>
        <w:t>主要是非税收入成本性支出减少。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：基本支出__</w:t>
      </w:r>
      <w:r>
        <w:rPr>
          <w:rStyle w:val="7"/>
          <w:rFonts w:hint="eastAsia" w:ascii="仿宋_GB2312" w:hAnsi="仿宋_GB2312" w:eastAsia="仿宋_GB2312" w:cs="仿宋_GB2312"/>
          <w:sz w:val="32"/>
          <w:szCs w:val="32"/>
          <w:lang w:val="en-US" w:eastAsia="zh-CN"/>
        </w:rPr>
        <w:t>43.97</w:t>
      </w:r>
      <w:r>
        <w:rPr>
          <w:rStyle w:val="7"/>
          <w:rFonts w:hint="eastAsia" w:ascii="仿宋_GB2312" w:hAnsi="仿宋_GB2312" w:eastAsia="仿宋_GB2312" w:cs="仿宋_GB2312"/>
          <w:sz w:val="32"/>
          <w:szCs w:val="32"/>
          <w:lang w:eastAsia="zh-CN"/>
        </w:rPr>
        <w:t>__万元，项目支出__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default" w:ascii="仿宋_GB2312" w:hAnsi="仿宋_GB2312" w:eastAsia="仿宋_GB2312" w:cs="仿宋_GB2312"/>
          <w:sz w:val="32"/>
          <w:szCs w:val="32"/>
          <w:u w:val="single"/>
          <w:lang w:val="en-US" w:eastAsia="zh-CN"/>
        </w:rPr>
      </w:pPr>
      <w:r>
        <w:rPr>
          <w:rStyle w:val="7"/>
          <w:rFonts w:hint="eastAsia" w:ascii="仿宋_GB2312" w:hAnsi="仿宋_GB2312" w:eastAsia="仿宋_GB2312" w:cs="仿宋_GB2312"/>
          <w:sz w:val="32"/>
          <w:szCs w:val="32"/>
          <w:lang w:eastAsia="zh-CN"/>
        </w:rPr>
        <w:t>按支出功能科目划分：</w:t>
      </w:r>
      <w:r>
        <w:rPr>
          <w:rStyle w:val="7"/>
          <w:rFonts w:hint="eastAsia" w:ascii="仿宋_GB2312" w:hAnsi="仿宋_GB2312" w:eastAsia="仿宋_GB2312" w:cs="仿宋_GB2312"/>
          <w:sz w:val="32"/>
          <w:szCs w:val="32"/>
          <w:lang w:val="en-US" w:eastAsia="zh-CN"/>
        </w:rPr>
        <w:t>住房保障支出</w:t>
      </w:r>
      <w:r>
        <w:rPr>
          <w:rStyle w:val="7"/>
          <w:rFonts w:hint="eastAsia" w:ascii="仿宋_GB2312" w:hAnsi="仿宋_GB2312" w:eastAsia="仿宋_GB2312" w:cs="仿宋_GB2312"/>
          <w:sz w:val="32"/>
          <w:szCs w:val="32"/>
          <w:u w:val="single"/>
          <w:lang w:val="en-US" w:eastAsia="zh-CN"/>
        </w:rPr>
        <w:t xml:space="preserve"> 3.02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9.78</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2.48</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27.14</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bCs/>
          <w:color w:val="000000"/>
          <w:sz w:val="32"/>
          <w:szCs w:val="32"/>
        </w:rPr>
        <w:t>赣州市土地交易管理中心</w:t>
      </w:r>
      <w:r>
        <w:rPr>
          <w:rStyle w:val="7"/>
          <w:rFonts w:hint="eastAsia" w:ascii="仿宋_GB2312" w:hAnsi="仿宋_GB2312" w:eastAsia="仿宋_GB2312" w:cs="仿宋_GB2312"/>
          <w:sz w:val="32"/>
          <w:szCs w:val="32"/>
          <w:lang w:eastAsia="zh-CN"/>
        </w:rPr>
        <w:t>财政拨款支出预算总额为财政拨款支出预算总额_</w:t>
      </w:r>
      <w:r>
        <w:rPr>
          <w:rStyle w:val="7"/>
          <w:rFonts w:hint="eastAsia" w:ascii="仿宋_GB2312" w:hAnsi="仿宋_GB2312" w:eastAsia="仿宋_GB2312" w:cs="仿宋_GB2312"/>
          <w:sz w:val="32"/>
          <w:szCs w:val="32"/>
          <w:lang w:val="en-US" w:eastAsia="zh-CN"/>
        </w:rPr>
        <w:t>43.97</w:t>
      </w:r>
      <w:r>
        <w:rPr>
          <w:rStyle w:val="7"/>
          <w:rFonts w:hint="eastAsia" w:ascii="仿宋_GB2312" w:hAnsi="仿宋_GB2312" w:eastAsia="仿宋_GB2312" w:cs="仿宋_GB2312"/>
          <w:sz w:val="32"/>
          <w:szCs w:val="32"/>
          <w:lang w:eastAsia="zh-CN"/>
        </w:rPr>
        <w:t>__万元，按支出功能科目划分：</w:t>
      </w:r>
      <w:r>
        <w:rPr>
          <w:rStyle w:val="7"/>
          <w:rFonts w:hint="eastAsia" w:ascii="仿宋_GB2312" w:hAnsi="仿宋_GB2312" w:eastAsia="仿宋_GB2312" w:cs="仿宋_GB2312"/>
          <w:sz w:val="32"/>
          <w:szCs w:val="32"/>
          <w:lang w:val="en-US" w:eastAsia="zh-CN"/>
        </w:rPr>
        <w:t>住房保障支出</w:t>
      </w:r>
      <w:r>
        <w:rPr>
          <w:rStyle w:val="7"/>
          <w:rFonts w:hint="eastAsia" w:ascii="仿宋_GB2312" w:hAnsi="仿宋_GB2312" w:eastAsia="仿宋_GB2312" w:cs="仿宋_GB2312"/>
          <w:sz w:val="32"/>
          <w:szCs w:val="32"/>
          <w:u w:val="single"/>
          <w:lang w:val="en-US" w:eastAsia="zh-CN"/>
        </w:rPr>
        <w:t xml:space="preserve"> 3.02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9.78</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2.48</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27.14</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bCs/>
          <w:color w:val="000000"/>
          <w:sz w:val="32"/>
          <w:szCs w:val="32"/>
        </w:rPr>
        <w:t>赣州市土地交易管理中心</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本单位为非行政参公单位，无机关运行费。</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bookmarkStart w:id="1" w:name="_GoBack"/>
      <w:bookmarkEnd w:id="1"/>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部门共有车辆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Fonts w:hint="eastAsia" w:ascii="仿宋" w:hAnsi="仿宋" w:eastAsia="仿宋" w:cs="仿宋"/>
          <w:b/>
          <w:bCs/>
          <w:color w:val="000000"/>
          <w:sz w:val="32"/>
          <w:szCs w:val="32"/>
        </w:rPr>
        <w:t>赣州市土地交易管理中心</w:t>
      </w:r>
      <w:r>
        <w:rPr>
          <w:rStyle w:val="7"/>
          <w:rFonts w:hint="eastAsia" w:ascii="仿宋_GB2312" w:hAnsi="仿宋_GB2312" w:eastAsia="仿宋_GB2312" w:cs="仿宋_GB2312"/>
          <w:b/>
          <w:sz w:val="32"/>
          <w:szCs w:val="32"/>
        </w:rPr>
        <w:t>项目情况说明（部门本级）</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auto"/>
          <w:sz w:val="32"/>
          <w:szCs w:val="32"/>
          <w:highlight w:val="none"/>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bCs/>
          <w:color w:val="000000"/>
          <w:sz w:val="32"/>
          <w:szCs w:val="32"/>
        </w:rPr>
        <w:t>赣州市土地交易管理中心</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万元，其中：</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无此项工作安排。</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预计不产生此项费用。</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未保留公车。</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无公务用车购置。</w:t>
      </w:r>
    </w:p>
    <w:p>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pPr>
        <w:widowControl/>
        <w:shd w:val="clear" w:color="auto" w:fill="FFFFFF"/>
        <w:spacing w:line="640" w:lineRule="atLeast"/>
        <w:ind w:firstLine="803" w:firstLineChars="250"/>
        <w:jc w:val="left"/>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年政府收支分类科目》的规范说明进行解释。</w:t>
      </w:r>
    </w:p>
    <w:p>
      <w:pPr>
        <w:rPr>
          <w:rFonts w:hint="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2MDEwYWZhN2I1N2U4ZGM3OTU3OTFjYmI1OGY4Y2MifQ=="/>
  </w:docVars>
  <w:rsids>
    <w:rsidRoot w:val="40D33017"/>
    <w:rsid w:val="06C44209"/>
    <w:rsid w:val="1D363AEE"/>
    <w:rsid w:val="1F1B4DAB"/>
    <w:rsid w:val="2E4A0DA0"/>
    <w:rsid w:val="30C17CEE"/>
    <w:rsid w:val="35766FBA"/>
    <w:rsid w:val="363D759F"/>
    <w:rsid w:val="38124B4F"/>
    <w:rsid w:val="40D33017"/>
    <w:rsid w:val="53633A3E"/>
    <w:rsid w:val="56CC326D"/>
    <w:rsid w:val="63C55565"/>
    <w:rsid w:val="6A1B137A"/>
    <w:rsid w:val="6FC211D5"/>
    <w:rsid w:val="79A631CD"/>
    <w:rsid w:val="7FDE45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2020</Words>
  <Characters>2276</Characters>
  <Lines>0</Lines>
  <Paragraphs>0</Paragraphs>
  <TotalTime>10</TotalTime>
  <ScaleCrop>false</ScaleCrop>
  <LinksUpToDate>false</LinksUpToDate>
  <CharactersWithSpaces>2347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2022-09-03T09:59:56Z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